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#85</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765BB9">
        <w:rPr>
          <w:rFonts w:ascii="Arial" w:hAnsi="Arial" w:cs="Arial" w:hint="eastAsia"/>
          <w:b/>
          <w:bCs/>
          <w:sz w:val="22"/>
          <w:lang w:val="en-GB"/>
        </w:rPr>
        <w:t>16</w:t>
      </w:r>
      <w:r w:rsidR="00247311">
        <w:rPr>
          <w:rFonts w:ascii="Arial" w:hAnsi="Arial" w:cs="Arial"/>
          <w:b/>
          <w:bCs/>
          <w:sz w:val="22"/>
          <w:lang w:val="en-GB"/>
        </w:rPr>
        <w:t>4273</w:t>
      </w:r>
      <w:r w:rsidR="00A569A4" w:rsidRPr="00525CF4">
        <w:rPr>
          <w:rFonts w:ascii="Arial" w:hAnsi="Arial" w:cs="Arial" w:hint="eastAsia"/>
          <w:b/>
          <w:bCs/>
          <w:sz w:val="22"/>
          <w:lang w:val="en-GB"/>
        </w:rPr>
        <w:t xml:space="preserve"> </w:t>
      </w:r>
    </w:p>
    <w:p w:rsidR="00A569A4" w:rsidRPr="00525CF4" w:rsidRDefault="00991963"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Nanjing</w:t>
      </w:r>
      <w:r w:rsidR="00B87244">
        <w:rPr>
          <w:rFonts w:ascii="Arial" w:hAnsi="Arial" w:cs="Arial"/>
          <w:b/>
          <w:bCs/>
          <w:sz w:val="22"/>
          <w:lang w:val="en-GB"/>
        </w:rPr>
        <w:t xml:space="preserve">, </w:t>
      </w:r>
      <w:r>
        <w:rPr>
          <w:rFonts w:ascii="Arial" w:hAnsi="Arial" w:cs="Arial"/>
          <w:b/>
          <w:bCs/>
          <w:sz w:val="22"/>
          <w:lang w:val="en-GB"/>
        </w:rPr>
        <w:t>China</w:t>
      </w:r>
      <w:r w:rsidR="00D82A53">
        <w:rPr>
          <w:rFonts w:ascii="Arial" w:hAnsi="Arial" w:cs="Arial"/>
          <w:b/>
          <w:bCs/>
          <w:sz w:val="22"/>
          <w:lang w:val="en-GB"/>
        </w:rPr>
        <w:t xml:space="preserve">, </w:t>
      </w:r>
      <w:r>
        <w:rPr>
          <w:rFonts w:ascii="Arial" w:hAnsi="Arial" w:cs="Arial"/>
          <w:b/>
          <w:bCs/>
          <w:sz w:val="22"/>
          <w:lang w:val="en-GB"/>
        </w:rPr>
        <w:t>23rd</w:t>
      </w:r>
      <w:r w:rsidR="00A569A4" w:rsidRPr="00525CF4">
        <w:rPr>
          <w:rFonts w:ascii="Arial" w:hAnsi="Arial" w:cs="Arial"/>
          <w:b/>
          <w:bCs/>
          <w:sz w:val="22"/>
          <w:lang w:val="en-GB"/>
        </w:rPr>
        <w:t xml:space="preserve"> - </w:t>
      </w:r>
      <w:r>
        <w:rPr>
          <w:rFonts w:ascii="Arial" w:hAnsi="Arial" w:cs="Arial"/>
          <w:b/>
          <w:bCs/>
          <w:sz w:val="22"/>
          <w:lang w:val="en-GB"/>
        </w:rPr>
        <w:t>27</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May</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991963">
        <w:rPr>
          <w:rFonts w:ascii="Arial" w:hAnsi="Arial" w:cs="Arial"/>
          <w:b/>
          <w:bCs/>
          <w:sz w:val="22"/>
          <w:lang w:val="en-GB"/>
        </w:rPr>
        <w:t>Frequency multiplexing of different numerologies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991963">
        <w:rPr>
          <w:rFonts w:ascii="Arial" w:hAnsi="Arial" w:cs="Arial"/>
          <w:b/>
          <w:bCs/>
          <w:sz w:val="22"/>
          <w:lang w:val="en-GB"/>
        </w:rPr>
        <w:t>7.1.4</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991963" w:rsidRDefault="004C46E1" w:rsidP="00921D45">
      <w:pPr>
        <w:adjustRightInd/>
        <w:snapToGrid w:val="0"/>
        <w:spacing w:afterLines="50" w:line="276" w:lineRule="auto"/>
        <w:jc w:val="both"/>
        <w:rPr>
          <w:szCs w:val="20"/>
        </w:rPr>
      </w:pPr>
      <w:r w:rsidRPr="00932248">
        <w:rPr>
          <w:szCs w:val="20"/>
        </w:rPr>
        <w:t>In RAN</w:t>
      </w:r>
      <w:r w:rsidR="00991963">
        <w:rPr>
          <w:szCs w:val="20"/>
        </w:rPr>
        <w:t>1</w:t>
      </w:r>
      <w:r w:rsidRPr="00932248">
        <w:rPr>
          <w:szCs w:val="20"/>
        </w:rPr>
        <w:t>#</w:t>
      </w:r>
      <w:r w:rsidR="00991963">
        <w:rPr>
          <w:szCs w:val="20"/>
        </w:rPr>
        <w:t>84bis</w:t>
      </w:r>
      <w:r w:rsidR="00A569A4" w:rsidRPr="00932248">
        <w:rPr>
          <w:szCs w:val="20"/>
        </w:rPr>
        <w:t>,</w:t>
      </w:r>
      <w:r w:rsidR="00991963">
        <w:rPr>
          <w:szCs w:val="20"/>
        </w:rPr>
        <w:t xml:space="preserve"> it was agreed that</w:t>
      </w:r>
      <w:r w:rsidR="00A0363B">
        <w:rPr>
          <w:szCs w:val="20"/>
        </w:rPr>
        <w:t xml:space="preserve"> for NR,</w:t>
      </w:r>
      <w:r w:rsidR="00991963">
        <w:rPr>
          <w:szCs w:val="20"/>
        </w:rPr>
        <w:t xml:space="preserve"> </w:t>
      </w:r>
      <w:r w:rsidR="00FD6B97">
        <w:rPr>
          <w:szCs w:val="20"/>
        </w:rPr>
        <w:t xml:space="preserve">multiple </w:t>
      </w:r>
      <w:r w:rsidR="00112AC8">
        <w:rPr>
          <w:szCs w:val="20"/>
        </w:rPr>
        <w:t xml:space="preserve">OFDM </w:t>
      </w:r>
      <w:r w:rsidR="00FD6B97">
        <w:rPr>
          <w:szCs w:val="20"/>
        </w:rPr>
        <w:t xml:space="preserve">numerologies can be used in the same frequency band </w:t>
      </w:r>
      <w:r w:rsidR="0022597F">
        <w:rPr>
          <w:szCs w:val="20"/>
        </w:rPr>
        <w:fldChar w:fldCharType="begin"/>
      </w:r>
      <w:r w:rsidR="00FD6B97">
        <w:rPr>
          <w:szCs w:val="20"/>
        </w:rPr>
        <w:instrText xml:space="preserve"> REF _Ref449620942 \r \h </w:instrText>
      </w:r>
      <w:r w:rsidR="0022597F">
        <w:rPr>
          <w:szCs w:val="20"/>
        </w:rPr>
      </w:r>
      <w:r w:rsidR="0022597F">
        <w:rPr>
          <w:szCs w:val="20"/>
        </w:rPr>
        <w:fldChar w:fldCharType="separate"/>
      </w:r>
      <w:r w:rsidR="00F610CA">
        <w:rPr>
          <w:szCs w:val="20"/>
        </w:rPr>
        <w:t>[1]</w:t>
      </w:r>
      <w:r w:rsidR="0022597F">
        <w:rPr>
          <w:szCs w:val="20"/>
        </w:rPr>
        <w:fldChar w:fldCharType="end"/>
      </w:r>
      <w:r w:rsidR="00112AC8">
        <w:rPr>
          <w:szCs w:val="20"/>
        </w:rPr>
        <w:t xml:space="preserve">. An OFDM numerology </w:t>
      </w:r>
      <w:r w:rsidR="0062638D">
        <w:rPr>
          <w:szCs w:val="20"/>
        </w:rPr>
        <w:t>may include</w:t>
      </w:r>
      <w:r w:rsidR="00112AC8">
        <w:rPr>
          <w:szCs w:val="20"/>
        </w:rPr>
        <w:t xml:space="preserve"> aspects like:</w:t>
      </w:r>
    </w:p>
    <w:p w:rsidR="00112AC8" w:rsidRDefault="00112AC8" w:rsidP="00921D45">
      <w:pPr>
        <w:pStyle w:val="ListParagraph"/>
        <w:numPr>
          <w:ilvl w:val="0"/>
          <w:numId w:val="20"/>
        </w:numPr>
        <w:adjustRightInd/>
        <w:snapToGrid w:val="0"/>
        <w:spacing w:afterLines="50" w:line="276" w:lineRule="auto"/>
        <w:ind w:firstLineChars="0"/>
        <w:jc w:val="both"/>
        <w:rPr>
          <w:szCs w:val="20"/>
        </w:rPr>
      </w:pPr>
      <w:r>
        <w:rPr>
          <w:szCs w:val="20"/>
        </w:rPr>
        <w:t>Subcarrier spacing</w:t>
      </w:r>
    </w:p>
    <w:p w:rsidR="00112AC8" w:rsidRDefault="00112AC8" w:rsidP="00921D45">
      <w:pPr>
        <w:pStyle w:val="ListParagraph"/>
        <w:numPr>
          <w:ilvl w:val="0"/>
          <w:numId w:val="20"/>
        </w:numPr>
        <w:adjustRightInd/>
        <w:snapToGrid w:val="0"/>
        <w:spacing w:afterLines="50" w:line="276" w:lineRule="auto"/>
        <w:ind w:firstLineChars="0"/>
        <w:jc w:val="both"/>
        <w:rPr>
          <w:szCs w:val="20"/>
        </w:rPr>
      </w:pPr>
      <w:r>
        <w:rPr>
          <w:szCs w:val="20"/>
        </w:rPr>
        <w:t>OFDM symbol duration(s)</w:t>
      </w:r>
    </w:p>
    <w:p w:rsidR="00112AC8" w:rsidRDefault="00112AC8" w:rsidP="00921D45">
      <w:pPr>
        <w:pStyle w:val="ListParagraph"/>
        <w:numPr>
          <w:ilvl w:val="0"/>
          <w:numId w:val="20"/>
        </w:numPr>
        <w:adjustRightInd/>
        <w:snapToGrid w:val="0"/>
        <w:spacing w:afterLines="50" w:line="276" w:lineRule="auto"/>
        <w:ind w:firstLineChars="0"/>
        <w:jc w:val="both"/>
        <w:rPr>
          <w:szCs w:val="20"/>
        </w:rPr>
      </w:pPr>
      <w:r>
        <w:rPr>
          <w:szCs w:val="20"/>
        </w:rPr>
        <w:t>Cyclic prefix (CP) duration(s)</w:t>
      </w:r>
    </w:p>
    <w:p w:rsidR="00112AC8" w:rsidRDefault="0062638D" w:rsidP="00921D45">
      <w:pPr>
        <w:pStyle w:val="ListParagraph"/>
        <w:numPr>
          <w:ilvl w:val="0"/>
          <w:numId w:val="20"/>
        </w:numPr>
        <w:adjustRightInd/>
        <w:snapToGrid w:val="0"/>
        <w:spacing w:afterLines="50" w:line="276" w:lineRule="auto"/>
        <w:ind w:firstLineChars="0"/>
        <w:jc w:val="both"/>
        <w:rPr>
          <w:szCs w:val="20"/>
        </w:rPr>
      </w:pPr>
      <w:r>
        <w:rPr>
          <w:szCs w:val="20"/>
        </w:rPr>
        <w:t>The number of symbols per subframe</w:t>
      </w:r>
    </w:p>
    <w:p w:rsidR="0062638D" w:rsidRPr="00112AC8" w:rsidRDefault="0062638D" w:rsidP="00921D45">
      <w:pPr>
        <w:pStyle w:val="ListParagraph"/>
        <w:numPr>
          <w:ilvl w:val="0"/>
          <w:numId w:val="20"/>
        </w:numPr>
        <w:adjustRightInd/>
        <w:snapToGrid w:val="0"/>
        <w:spacing w:afterLines="50" w:line="276" w:lineRule="auto"/>
        <w:ind w:firstLineChars="0"/>
        <w:jc w:val="both"/>
        <w:rPr>
          <w:szCs w:val="20"/>
        </w:rPr>
      </w:pPr>
      <w:r>
        <w:rPr>
          <w:szCs w:val="20"/>
        </w:rPr>
        <w:t>Combinations of sampling rate and DFT size</w:t>
      </w:r>
    </w:p>
    <w:p w:rsidR="008339F9" w:rsidRDefault="0062638D" w:rsidP="00921D45">
      <w:pPr>
        <w:adjustRightInd/>
        <w:snapToGrid w:val="0"/>
        <w:spacing w:afterLines="50" w:line="276" w:lineRule="auto"/>
        <w:jc w:val="both"/>
        <w:rPr>
          <w:szCs w:val="20"/>
        </w:rPr>
      </w:pPr>
      <w:r>
        <w:rPr>
          <w:szCs w:val="20"/>
        </w:rPr>
        <w:t xml:space="preserve">Different numerologies are required in NR due the diverse requirements </w:t>
      </w:r>
      <w:r w:rsidR="0022597F">
        <w:rPr>
          <w:szCs w:val="20"/>
        </w:rPr>
        <w:fldChar w:fldCharType="begin"/>
      </w:r>
      <w:r>
        <w:rPr>
          <w:szCs w:val="20"/>
        </w:rPr>
        <w:instrText xml:space="preserve"> REF _Ref449622718 \r \h </w:instrText>
      </w:r>
      <w:r w:rsidR="0022597F">
        <w:rPr>
          <w:szCs w:val="20"/>
        </w:rPr>
      </w:r>
      <w:r w:rsidR="0022597F">
        <w:rPr>
          <w:szCs w:val="20"/>
        </w:rPr>
        <w:fldChar w:fldCharType="separate"/>
      </w:r>
      <w:r w:rsidR="00F610CA">
        <w:rPr>
          <w:szCs w:val="20"/>
        </w:rPr>
        <w:t>[2]</w:t>
      </w:r>
      <w:r w:rsidR="0022597F">
        <w:rPr>
          <w:szCs w:val="20"/>
        </w:rPr>
        <w:fldChar w:fldCharType="end"/>
      </w:r>
      <w:r>
        <w:rPr>
          <w:szCs w:val="20"/>
        </w:rPr>
        <w:t>.</w:t>
      </w:r>
      <w:r w:rsidR="008339F9">
        <w:rPr>
          <w:szCs w:val="20"/>
        </w:rPr>
        <w:t xml:space="preserve"> For example, low-latency applications may require a shorter OFDM symbol duration and/or fewer symbols per subframe than an MTC application. Furthermore, different deployment scenarios</w:t>
      </w:r>
      <w:r w:rsidR="00856CC3">
        <w:rPr>
          <w:szCs w:val="20"/>
        </w:rPr>
        <w:t xml:space="preserve"> and carrier frequencies</w:t>
      </w:r>
      <w:r w:rsidR="008339F9">
        <w:rPr>
          <w:szCs w:val="20"/>
        </w:rPr>
        <w:t xml:space="preserve"> may require different numerologies. For example, deployment scenarios with large channel delay spreads require a longer CP duration than scenarios with short delay spreads.</w:t>
      </w:r>
    </w:p>
    <w:p w:rsidR="000D793E" w:rsidRPr="0027255D" w:rsidRDefault="000D793E" w:rsidP="00921D45">
      <w:pPr>
        <w:adjustRightInd/>
        <w:snapToGrid w:val="0"/>
        <w:spacing w:afterLines="50" w:line="276" w:lineRule="auto"/>
        <w:jc w:val="both"/>
        <w:rPr>
          <w:szCs w:val="20"/>
        </w:rPr>
      </w:pPr>
      <w:r>
        <w:rPr>
          <w:szCs w:val="20"/>
        </w:rPr>
        <w:t xml:space="preserve">In order to support multiplexing of different services with diverse requirements in the same frequency band, it is necessary to support the multiplexing of different numerologies in the same frequency band. In our companion contribution </w:t>
      </w:r>
      <w:r w:rsidR="0022597F">
        <w:rPr>
          <w:szCs w:val="20"/>
        </w:rPr>
        <w:fldChar w:fldCharType="begin"/>
      </w:r>
      <w:r>
        <w:rPr>
          <w:szCs w:val="20"/>
        </w:rPr>
        <w:instrText xml:space="preserve"> REF _Ref449623523 \r \h </w:instrText>
      </w:r>
      <w:r w:rsidR="0022597F">
        <w:rPr>
          <w:szCs w:val="20"/>
        </w:rPr>
      </w:r>
      <w:r w:rsidR="0022597F">
        <w:rPr>
          <w:szCs w:val="20"/>
        </w:rPr>
        <w:fldChar w:fldCharType="separate"/>
      </w:r>
      <w:r w:rsidR="00F610CA">
        <w:rPr>
          <w:szCs w:val="20"/>
        </w:rPr>
        <w:t>[3]</w:t>
      </w:r>
      <w:r w:rsidR="0022597F">
        <w:rPr>
          <w:szCs w:val="20"/>
        </w:rPr>
        <w:fldChar w:fldCharType="end"/>
      </w:r>
      <w:r>
        <w:rPr>
          <w:szCs w:val="20"/>
        </w:rPr>
        <w:t xml:space="preserve">, we propose that the study should </w:t>
      </w:r>
      <w:r w:rsidR="002530C6">
        <w:rPr>
          <w:szCs w:val="20"/>
        </w:rPr>
        <w:t>consider both</w:t>
      </w:r>
      <w:r>
        <w:rPr>
          <w:szCs w:val="20"/>
        </w:rPr>
        <w:t xml:space="preserve"> time- and frequency-multiplexing of different numerologies</w:t>
      </w:r>
      <w:r w:rsidR="002530C6">
        <w:rPr>
          <w:szCs w:val="20"/>
        </w:rPr>
        <w:t xml:space="preserve"> on the same carrier</w:t>
      </w:r>
      <w:r>
        <w:rPr>
          <w:szCs w:val="20"/>
        </w:rPr>
        <w:t>. In this contribution, we focus on the frequency multiplexing of different numerologies in the same frequency band.</w:t>
      </w:r>
    </w:p>
    <w:p w:rsidR="00412643" w:rsidRDefault="00804288" w:rsidP="00412643">
      <w:pPr>
        <w:numPr>
          <w:ilvl w:val="0"/>
          <w:numId w:val="1"/>
        </w:numPr>
        <w:ind w:left="357" w:hanging="357"/>
        <w:rPr>
          <w:b/>
          <w:sz w:val="30"/>
          <w:szCs w:val="30"/>
        </w:rPr>
      </w:pPr>
      <w:bookmarkStart w:id="2" w:name="_Ref450154210"/>
      <w:r>
        <w:rPr>
          <w:b/>
          <w:sz w:val="30"/>
          <w:szCs w:val="30"/>
        </w:rPr>
        <w:t>Guard-bands Between Numerologies</w:t>
      </w:r>
      <w:bookmarkEnd w:id="2"/>
    </w:p>
    <w:p w:rsidR="00251E7C" w:rsidRDefault="002973B9" w:rsidP="00921D45">
      <w:pPr>
        <w:adjustRightInd/>
        <w:snapToGrid w:val="0"/>
        <w:spacing w:afterLines="50" w:line="276" w:lineRule="auto"/>
        <w:jc w:val="both"/>
        <w:rPr>
          <w:szCs w:val="20"/>
        </w:rPr>
      </w:pPr>
      <w:r>
        <w:rPr>
          <w:szCs w:val="20"/>
        </w:rPr>
        <w:t xml:space="preserve">If multiple </w:t>
      </w:r>
      <w:r w:rsidR="00E0055C">
        <w:rPr>
          <w:szCs w:val="20"/>
        </w:rPr>
        <w:t xml:space="preserve">OFDM </w:t>
      </w:r>
      <w:r>
        <w:rPr>
          <w:szCs w:val="20"/>
        </w:rPr>
        <w:t xml:space="preserve">numerologies are frequency multiplexed in the same band, the orthogonality of OFDM is typically lost. </w:t>
      </w:r>
      <w:r w:rsidR="00251E7C">
        <w:rPr>
          <w:szCs w:val="20"/>
        </w:rPr>
        <w:t>Instead, inter-numerology interference (INI) is introduced</w:t>
      </w:r>
      <w:r w:rsidR="00856CC3">
        <w:rPr>
          <w:szCs w:val="20"/>
        </w:rPr>
        <w:t>, even if there are no time/frequency errors or interference between consecutive symbols</w:t>
      </w:r>
      <w:r w:rsidR="00251E7C">
        <w:rPr>
          <w:szCs w:val="20"/>
        </w:rPr>
        <w:t xml:space="preserve">. </w:t>
      </w:r>
      <w:r w:rsidR="00934221">
        <w:rPr>
          <w:szCs w:val="20"/>
        </w:rPr>
        <w:t xml:space="preserve">INI is different from </w:t>
      </w:r>
      <w:r w:rsidR="00E0055C">
        <w:rPr>
          <w:szCs w:val="20"/>
        </w:rPr>
        <w:t xml:space="preserve">traditional </w:t>
      </w:r>
      <w:r w:rsidR="00934221">
        <w:rPr>
          <w:szCs w:val="20"/>
        </w:rPr>
        <w:t xml:space="preserve">intra-band </w:t>
      </w:r>
      <w:r w:rsidR="00E0055C">
        <w:rPr>
          <w:szCs w:val="20"/>
        </w:rPr>
        <w:t>cross-</w:t>
      </w:r>
      <w:r w:rsidR="00934221">
        <w:rPr>
          <w:szCs w:val="20"/>
        </w:rPr>
        <w:t>carrier interference</w:t>
      </w:r>
      <w:r w:rsidR="00E0055C">
        <w:rPr>
          <w:szCs w:val="20"/>
        </w:rPr>
        <w:t xml:space="preserve"> in that the different numerologies are dynamically or semi-statically frequency multiplexed in the same carrier.</w:t>
      </w:r>
    </w:p>
    <w:p w:rsidR="00251E7C" w:rsidRDefault="00E0055C" w:rsidP="00921D45">
      <w:pPr>
        <w:adjustRightInd/>
        <w:snapToGrid w:val="0"/>
        <w:spacing w:afterLines="50" w:line="276" w:lineRule="auto"/>
        <w:jc w:val="both"/>
        <w:rPr>
          <w:szCs w:val="20"/>
        </w:rPr>
      </w:pPr>
      <w:r>
        <w:rPr>
          <w:szCs w:val="20"/>
        </w:rPr>
        <w:t>For simplicity</w:t>
      </w:r>
      <w:r w:rsidR="002973B9">
        <w:rPr>
          <w:szCs w:val="20"/>
        </w:rPr>
        <w:t xml:space="preserve">, we assume that a numerology is used in a sub-band whereas another numerology is used in an adjacent sub-band, possibly with a guard band between. However, it should not be excluded that different numerologies </w:t>
      </w:r>
      <w:r w:rsidR="00856CC3">
        <w:rPr>
          <w:szCs w:val="20"/>
        </w:rPr>
        <w:t>could be</w:t>
      </w:r>
      <w:r w:rsidR="002973B9">
        <w:rPr>
          <w:szCs w:val="20"/>
        </w:rPr>
        <w:t xml:space="preserve"> simultaneously used in the same sub-band in some cases, for instance if sufficient interference suppression is obtained by multiple antenna techniques.</w:t>
      </w:r>
      <w:r w:rsidR="00251E7C">
        <w:rPr>
          <w:szCs w:val="20"/>
        </w:rPr>
        <w:t xml:space="preserve"> </w:t>
      </w:r>
    </w:p>
    <w:p w:rsidR="00251E7C" w:rsidRDefault="00E0055C" w:rsidP="00921D45">
      <w:pPr>
        <w:adjustRightInd/>
        <w:snapToGrid w:val="0"/>
        <w:spacing w:afterLines="50" w:line="276" w:lineRule="auto"/>
        <w:jc w:val="both"/>
        <w:rPr>
          <w:szCs w:val="20"/>
        </w:rPr>
      </w:pPr>
      <w:r>
        <w:rPr>
          <w:szCs w:val="20"/>
        </w:rPr>
        <w:t>The proper</w:t>
      </w:r>
      <w:r w:rsidR="00251E7C">
        <w:rPr>
          <w:szCs w:val="20"/>
        </w:rPr>
        <w:t xml:space="preserve"> size of a guard band between two adjacent numerologies depend</w:t>
      </w:r>
      <w:r w:rsidR="00E53CC2">
        <w:rPr>
          <w:szCs w:val="20"/>
        </w:rPr>
        <w:t>s</w:t>
      </w:r>
      <w:r w:rsidR="00251E7C">
        <w:rPr>
          <w:szCs w:val="20"/>
        </w:rPr>
        <w:t xml:space="preserve"> on various factors, such as</w:t>
      </w:r>
    </w:p>
    <w:p w:rsidR="00251E7C" w:rsidRDefault="00E0055C" w:rsidP="00921D45">
      <w:pPr>
        <w:pStyle w:val="ListParagraph"/>
        <w:numPr>
          <w:ilvl w:val="0"/>
          <w:numId w:val="22"/>
        </w:numPr>
        <w:adjustRightInd/>
        <w:snapToGrid w:val="0"/>
        <w:spacing w:afterLines="50" w:line="276" w:lineRule="auto"/>
        <w:ind w:firstLineChars="0"/>
        <w:jc w:val="both"/>
        <w:rPr>
          <w:szCs w:val="20"/>
        </w:rPr>
      </w:pPr>
      <w:r>
        <w:rPr>
          <w:szCs w:val="20"/>
        </w:rPr>
        <w:t>The numerology parameters.</w:t>
      </w:r>
    </w:p>
    <w:p w:rsidR="00251E7C" w:rsidRDefault="00251E7C" w:rsidP="00921D45">
      <w:pPr>
        <w:pStyle w:val="ListParagraph"/>
        <w:numPr>
          <w:ilvl w:val="0"/>
          <w:numId w:val="22"/>
        </w:numPr>
        <w:adjustRightInd/>
        <w:snapToGrid w:val="0"/>
        <w:spacing w:afterLines="50" w:line="276" w:lineRule="auto"/>
        <w:ind w:firstLineChars="0"/>
        <w:jc w:val="both"/>
        <w:rPr>
          <w:szCs w:val="20"/>
        </w:rPr>
      </w:pPr>
      <w:r>
        <w:rPr>
          <w:szCs w:val="20"/>
        </w:rPr>
        <w:t>The received power difference between the numerologies</w:t>
      </w:r>
    </w:p>
    <w:p w:rsidR="00251E7C" w:rsidRDefault="00251E7C" w:rsidP="00921D45">
      <w:pPr>
        <w:pStyle w:val="ListParagraph"/>
        <w:numPr>
          <w:ilvl w:val="0"/>
          <w:numId w:val="22"/>
        </w:numPr>
        <w:adjustRightInd/>
        <w:snapToGrid w:val="0"/>
        <w:spacing w:afterLines="50" w:line="276" w:lineRule="auto"/>
        <w:ind w:firstLineChars="0"/>
        <w:jc w:val="both"/>
        <w:rPr>
          <w:szCs w:val="20"/>
        </w:rPr>
      </w:pPr>
      <w:r>
        <w:rPr>
          <w:szCs w:val="20"/>
        </w:rPr>
        <w:t>The bandwidths used by the numerologies</w:t>
      </w:r>
    </w:p>
    <w:p w:rsidR="00972F70" w:rsidRDefault="00972F70" w:rsidP="00921D45">
      <w:pPr>
        <w:pStyle w:val="ListParagraph"/>
        <w:numPr>
          <w:ilvl w:val="0"/>
          <w:numId w:val="22"/>
        </w:numPr>
        <w:adjustRightInd/>
        <w:snapToGrid w:val="0"/>
        <w:spacing w:afterLines="50" w:line="276" w:lineRule="auto"/>
        <w:ind w:firstLineChars="0"/>
        <w:jc w:val="both"/>
        <w:rPr>
          <w:szCs w:val="20"/>
        </w:rPr>
      </w:pPr>
      <w:r>
        <w:rPr>
          <w:szCs w:val="20"/>
        </w:rPr>
        <w:t>The time</w:t>
      </w:r>
      <w:r w:rsidR="00856CC3">
        <w:rPr>
          <w:szCs w:val="20"/>
        </w:rPr>
        <w:t>/frequency</w:t>
      </w:r>
      <w:r>
        <w:rPr>
          <w:szCs w:val="20"/>
        </w:rPr>
        <w:t xml:space="preserve"> </w:t>
      </w:r>
      <w:r w:rsidR="00856CC3">
        <w:rPr>
          <w:szCs w:val="20"/>
        </w:rPr>
        <w:t>errors</w:t>
      </w:r>
      <w:r>
        <w:rPr>
          <w:szCs w:val="20"/>
        </w:rPr>
        <w:t xml:space="preserve"> between numerologies</w:t>
      </w:r>
    </w:p>
    <w:p w:rsidR="00251E7C" w:rsidRDefault="00251E7C" w:rsidP="00921D45">
      <w:pPr>
        <w:pStyle w:val="ListParagraph"/>
        <w:numPr>
          <w:ilvl w:val="0"/>
          <w:numId w:val="22"/>
        </w:numPr>
        <w:adjustRightInd/>
        <w:snapToGrid w:val="0"/>
        <w:spacing w:afterLines="50" w:line="276" w:lineRule="auto"/>
        <w:ind w:firstLineChars="0"/>
        <w:jc w:val="both"/>
        <w:rPr>
          <w:szCs w:val="20"/>
        </w:rPr>
      </w:pPr>
      <w:r>
        <w:rPr>
          <w:szCs w:val="20"/>
        </w:rPr>
        <w:lastRenderedPageBreak/>
        <w:t>The waveform and fi</w:t>
      </w:r>
      <w:r w:rsidR="00972F70">
        <w:rPr>
          <w:szCs w:val="20"/>
        </w:rPr>
        <w:t>ltering used</w:t>
      </w:r>
    </w:p>
    <w:p w:rsidR="00251E7C" w:rsidRDefault="00251E7C" w:rsidP="00921D45">
      <w:pPr>
        <w:pStyle w:val="ListParagraph"/>
        <w:numPr>
          <w:ilvl w:val="0"/>
          <w:numId w:val="22"/>
        </w:numPr>
        <w:adjustRightInd/>
        <w:snapToGrid w:val="0"/>
        <w:spacing w:afterLines="50" w:line="276" w:lineRule="auto"/>
        <w:ind w:firstLineChars="0"/>
        <w:jc w:val="both"/>
        <w:rPr>
          <w:szCs w:val="20"/>
        </w:rPr>
      </w:pPr>
      <w:r>
        <w:rPr>
          <w:szCs w:val="20"/>
        </w:rPr>
        <w:t>The performance requirements</w:t>
      </w:r>
    </w:p>
    <w:p w:rsidR="00773E97" w:rsidRPr="00F001B4" w:rsidRDefault="00972F70" w:rsidP="00921D45">
      <w:pPr>
        <w:adjustRightInd/>
        <w:snapToGrid w:val="0"/>
        <w:spacing w:afterLines="50" w:line="276" w:lineRule="auto"/>
        <w:jc w:val="both"/>
        <w:rPr>
          <w:szCs w:val="20"/>
        </w:rPr>
      </w:pPr>
      <w:r>
        <w:rPr>
          <w:szCs w:val="20"/>
        </w:rPr>
        <w:t xml:space="preserve">Several of the factors above are related to the dynamic/semi-static </w:t>
      </w:r>
      <w:r w:rsidR="00060E49">
        <w:rPr>
          <w:szCs w:val="20"/>
        </w:rPr>
        <w:t xml:space="preserve">MAC </w:t>
      </w:r>
      <w:r>
        <w:rPr>
          <w:szCs w:val="20"/>
        </w:rPr>
        <w:t xml:space="preserve">scheduling and/or the semi-static </w:t>
      </w:r>
      <w:r w:rsidR="00060E49">
        <w:rPr>
          <w:szCs w:val="20"/>
        </w:rPr>
        <w:t>RRC</w:t>
      </w:r>
      <w:r>
        <w:rPr>
          <w:szCs w:val="20"/>
        </w:rPr>
        <w:t>. Hence, it makes sense</w:t>
      </w:r>
      <w:r w:rsidR="00060E49">
        <w:rPr>
          <w:szCs w:val="20"/>
        </w:rPr>
        <w:t xml:space="preserve"> to let the MAC scheduler</w:t>
      </w:r>
      <w:r w:rsidR="009628AF">
        <w:rPr>
          <w:szCs w:val="20"/>
        </w:rPr>
        <w:t xml:space="preserve"> and/or RRC</w:t>
      </w:r>
      <w:r>
        <w:rPr>
          <w:szCs w:val="20"/>
        </w:rPr>
        <w:t xml:space="preserve"> be in control of the management of guard-bands between numerologies. </w:t>
      </w:r>
    </w:p>
    <w:p w:rsidR="00804288" w:rsidRDefault="00804288" w:rsidP="00804288">
      <w:pPr>
        <w:numPr>
          <w:ilvl w:val="0"/>
          <w:numId w:val="1"/>
        </w:numPr>
        <w:ind w:left="357" w:hanging="357"/>
        <w:rPr>
          <w:b/>
          <w:sz w:val="30"/>
          <w:szCs w:val="30"/>
        </w:rPr>
      </w:pPr>
      <w:r w:rsidRPr="00804288">
        <w:rPr>
          <w:b/>
          <w:sz w:val="30"/>
          <w:szCs w:val="30"/>
        </w:rPr>
        <w:t>Frequency</w:t>
      </w:r>
      <w:r>
        <w:rPr>
          <w:b/>
          <w:sz w:val="30"/>
          <w:szCs w:val="30"/>
        </w:rPr>
        <w:t xml:space="preserve"> Grids of Different Numerologies</w:t>
      </w:r>
    </w:p>
    <w:p w:rsidR="00DD34F8" w:rsidRDefault="0063642D" w:rsidP="00921D45">
      <w:pPr>
        <w:adjustRightInd/>
        <w:snapToGrid w:val="0"/>
        <w:spacing w:afterLines="50" w:line="276" w:lineRule="auto"/>
        <w:jc w:val="both"/>
        <w:rPr>
          <w:szCs w:val="20"/>
        </w:rPr>
      </w:pPr>
      <w:r>
        <w:rPr>
          <w:szCs w:val="20"/>
        </w:rPr>
        <w:t xml:space="preserve">Nominally, the subcarriers in baseband of a numerology are </w:t>
      </w:r>
      <w:r w:rsidR="00AC7216">
        <w:rPr>
          <w:szCs w:val="20"/>
        </w:rPr>
        <w:t xml:space="preserve">located </w:t>
      </w:r>
      <w:r>
        <w:rPr>
          <w:szCs w:val="20"/>
        </w:rPr>
        <w:t xml:space="preserve">on a </w:t>
      </w:r>
      <w:r>
        <w:rPr>
          <w:rFonts w:ascii="Cambria Math" w:hAnsi="Cambria Math"/>
          <w:szCs w:val="20"/>
        </w:rPr>
        <w:t>∆</w:t>
      </w:r>
      <w:r>
        <w:rPr>
          <w:szCs w:val="20"/>
        </w:rPr>
        <w:t>f</w:t>
      </w:r>
      <w:r w:rsidRPr="0063642D">
        <w:rPr>
          <w:szCs w:val="20"/>
          <w:vertAlign w:val="subscript"/>
        </w:rPr>
        <w:t>1</w:t>
      </w:r>
      <w:r>
        <w:rPr>
          <w:szCs w:val="20"/>
        </w:rPr>
        <w:t xml:space="preserve">*m grid, where </w:t>
      </w:r>
      <w:r>
        <w:rPr>
          <w:rFonts w:ascii="Cambria Math" w:hAnsi="Cambria Math"/>
          <w:szCs w:val="20"/>
        </w:rPr>
        <w:t>∆</w:t>
      </w:r>
      <w:r>
        <w:rPr>
          <w:szCs w:val="20"/>
        </w:rPr>
        <w:t>f</w:t>
      </w:r>
      <w:r w:rsidRPr="0063642D">
        <w:rPr>
          <w:szCs w:val="20"/>
          <w:vertAlign w:val="subscript"/>
        </w:rPr>
        <w:t>1</w:t>
      </w:r>
      <w:r>
        <w:rPr>
          <w:szCs w:val="20"/>
        </w:rPr>
        <w:t xml:space="preserve"> is the subcarrier spacing and m is an integer. Another numerology, with different subcarrier spacing </w:t>
      </w:r>
      <w:r>
        <w:rPr>
          <w:rFonts w:ascii="Cambria Math" w:hAnsi="Cambria Math"/>
          <w:szCs w:val="20"/>
        </w:rPr>
        <w:t>∆</w:t>
      </w:r>
      <w:r>
        <w:rPr>
          <w:szCs w:val="20"/>
        </w:rPr>
        <w:t>f</w:t>
      </w:r>
      <w:r>
        <w:rPr>
          <w:szCs w:val="20"/>
          <w:vertAlign w:val="subscript"/>
        </w:rPr>
        <w:t>2</w:t>
      </w:r>
      <w:r>
        <w:rPr>
          <w:szCs w:val="20"/>
        </w:rPr>
        <w:t xml:space="preserve">, has subcarriers on the grid </w:t>
      </w:r>
      <w:r>
        <w:rPr>
          <w:rFonts w:ascii="Cambria Math" w:hAnsi="Cambria Math"/>
          <w:szCs w:val="20"/>
        </w:rPr>
        <w:t>∆</w:t>
      </w:r>
      <w:r>
        <w:rPr>
          <w:szCs w:val="20"/>
        </w:rPr>
        <w:t>f</w:t>
      </w:r>
      <w:r>
        <w:rPr>
          <w:szCs w:val="20"/>
          <w:vertAlign w:val="subscript"/>
        </w:rPr>
        <w:t>2</w:t>
      </w:r>
      <w:r>
        <w:rPr>
          <w:szCs w:val="20"/>
        </w:rPr>
        <w:t xml:space="preserve">*m. Depending on the subcarrier </w:t>
      </w:r>
      <w:proofErr w:type="spellStart"/>
      <w:r>
        <w:rPr>
          <w:szCs w:val="20"/>
        </w:rPr>
        <w:t>spacings</w:t>
      </w:r>
      <w:proofErr w:type="spellEnd"/>
      <w:r>
        <w:rPr>
          <w:szCs w:val="20"/>
        </w:rPr>
        <w:t xml:space="preserve"> </w:t>
      </w:r>
      <w:r>
        <w:rPr>
          <w:rFonts w:ascii="Cambria Math" w:hAnsi="Cambria Math"/>
          <w:szCs w:val="20"/>
        </w:rPr>
        <w:t>∆</w:t>
      </w:r>
      <w:r>
        <w:rPr>
          <w:szCs w:val="20"/>
        </w:rPr>
        <w:t>f</w:t>
      </w:r>
      <w:r w:rsidRPr="0063642D">
        <w:rPr>
          <w:szCs w:val="20"/>
          <w:vertAlign w:val="subscript"/>
        </w:rPr>
        <w:t>1</w:t>
      </w:r>
      <w:r>
        <w:rPr>
          <w:szCs w:val="20"/>
        </w:rPr>
        <w:t xml:space="preserve"> and </w:t>
      </w:r>
      <w:r>
        <w:rPr>
          <w:rFonts w:ascii="Cambria Math" w:hAnsi="Cambria Math"/>
          <w:szCs w:val="20"/>
        </w:rPr>
        <w:t>∆</w:t>
      </w:r>
      <w:r>
        <w:rPr>
          <w:szCs w:val="20"/>
        </w:rPr>
        <w:t>f</w:t>
      </w:r>
      <w:r>
        <w:rPr>
          <w:szCs w:val="20"/>
          <w:vertAlign w:val="subscript"/>
        </w:rPr>
        <w:t>2</w:t>
      </w:r>
      <w:r>
        <w:rPr>
          <w:szCs w:val="20"/>
        </w:rPr>
        <w:t xml:space="preserve">, the </w:t>
      </w:r>
      <w:r w:rsidR="00AC7216">
        <w:rPr>
          <w:szCs w:val="20"/>
        </w:rPr>
        <w:t xml:space="preserve">center frequencies of </w:t>
      </w:r>
      <w:r>
        <w:rPr>
          <w:szCs w:val="20"/>
        </w:rPr>
        <w:t>subcarrier</w:t>
      </w:r>
      <w:r w:rsidR="00E0278A">
        <w:rPr>
          <w:szCs w:val="20"/>
        </w:rPr>
        <w:t>s</w:t>
      </w:r>
      <w:r>
        <w:rPr>
          <w:szCs w:val="20"/>
        </w:rPr>
        <w:t xml:space="preserve"> may coincide more or less often. For instance, if </w:t>
      </w:r>
      <w:r>
        <w:rPr>
          <w:rFonts w:ascii="Cambria Math" w:hAnsi="Cambria Math"/>
          <w:szCs w:val="20"/>
        </w:rPr>
        <w:t>∆</w:t>
      </w:r>
      <w:r>
        <w:rPr>
          <w:szCs w:val="20"/>
        </w:rPr>
        <w:t>f</w:t>
      </w:r>
      <w:r w:rsidR="007F3EF2">
        <w:rPr>
          <w:szCs w:val="20"/>
          <w:vertAlign w:val="subscript"/>
        </w:rPr>
        <w:t>2</w:t>
      </w:r>
      <w:r>
        <w:rPr>
          <w:szCs w:val="20"/>
        </w:rPr>
        <w:t xml:space="preserve"> = </w:t>
      </w:r>
      <w:r w:rsidR="007F3EF2">
        <w:rPr>
          <w:szCs w:val="20"/>
        </w:rPr>
        <w:t>4</w:t>
      </w:r>
      <w:r>
        <w:rPr>
          <w:szCs w:val="20"/>
        </w:rPr>
        <w:t>*</w:t>
      </w:r>
      <w:r>
        <w:rPr>
          <w:rFonts w:ascii="Cambria Math" w:hAnsi="Cambria Math"/>
          <w:szCs w:val="20"/>
        </w:rPr>
        <w:t>∆</w:t>
      </w:r>
      <w:r>
        <w:rPr>
          <w:szCs w:val="20"/>
        </w:rPr>
        <w:t>f</w:t>
      </w:r>
      <w:r w:rsidR="007F3EF2">
        <w:rPr>
          <w:szCs w:val="20"/>
          <w:vertAlign w:val="subscript"/>
        </w:rPr>
        <w:t>1</w:t>
      </w:r>
      <w:r>
        <w:rPr>
          <w:szCs w:val="20"/>
        </w:rPr>
        <w:t xml:space="preserve">, then every </w:t>
      </w:r>
      <w:r w:rsidR="007F3EF2">
        <w:rPr>
          <w:szCs w:val="20"/>
        </w:rPr>
        <w:t xml:space="preserve">fourth </w:t>
      </w:r>
      <w:r>
        <w:rPr>
          <w:szCs w:val="20"/>
        </w:rPr>
        <w:t xml:space="preserve">subcarrier of the </w:t>
      </w:r>
      <w:r w:rsidR="007F3EF2">
        <w:rPr>
          <w:szCs w:val="20"/>
        </w:rPr>
        <w:t>1</w:t>
      </w:r>
      <w:r w:rsidR="007F3EF2" w:rsidRPr="007F3EF2">
        <w:rPr>
          <w:szCs w:val="20"/>
          <w:vertAlign w:val="superscript"/>
        </w:rPr>
        <w:t>st</w:t>
      </w:r>
      <w:r w:rsidR="007F3EF2">
        <w:rPr>
          <w:szCs w:val="20"/>
        </w:rPr>
        <w:t xml:space="preserve"> </w:t>
      </w:r>
      <w:r>
        <w:rPr>
          <w:szCs w:val="20"/>
        </w:rPr>
        <w:t>numerology will coincide with a subcarrier of the</w:t>
      </w:r>
      <w:r w:rsidR="007F3EF2">
        <w:rPr>
          <w:szCs w:val="20"/>
        </w:rPr>
        <w:t xml:space="preserve"> 2</w:t>
      </w:r>
      <w:r w:rsidR="007F3EF2" w:rsidRPr="007F3EF2">
        <w:rPr>
          <w:szCs w:val="20"/>
          <w:vertAlign w:val="superscript"/>
        </w:rPr>
        <w:t>nd</w:t>
      </w:r>
      <w:r w:rsidR="007F3EF2">
        <w:rPr>
          <w:szCs w:val="20"/>
        </w:rPr>
        <w:t xml:space="preserve"> </w:t>
      </w:r>
      <w:r>
        <w:rPr>
          <w:szCs w:val="20"/>
        </w:rPr>
        <w:t xml:space="preserve">numerology. However, if for instance </w:t>
      </w:r>
      <w:r>
        <w:rPr>
          <w:rFonts w:ascii="Cambria Math" w:hAnsi="Cambria Math"/>
          <w:szCs w:val="20"/>
        </w:rPr>
        <w:t>∆</w:t>
      </w:r>
      <w:r>
        <w:rPr>
          <w:szCs w:val="20"/>
        </w:rPr>
        <w:t>f</w:t>
      </w:r>
      <w:r w:rsidRPr="0063642D">
        <w:rPr>
          <w:szCs w:val="20"/>
          <w:vertAlign w:val="subscript"/>
        </w:rPr>
        <w:t>1</w:t>
      </w:r>
      <w:r>
        <w:rPr>
          <w:szCs w:val="20"/>
        </w:rPr>
        <w:t xml:space="preserve"> =15 kHz and </w:t>
      </w:r>
      <w:r>
        <w:rPr>
          <w:rFonts w:ascii="Cambria Math" w:hAnsi="Cambria Math"/>
          <w:szCs w:val="20"/>
        </w:rPr>
        <w:t>∆</w:t>
      </w:r>
      <w:r>
        <w:rPr>
          <w:szCs w:val="20"/>
        </w:rPr>
        <w:t>f</w:t>
      </w:r>
      <w:r>
        <w:rPr>
          <w:szCs w:val="20"/>
          <w:vertAlign w:val="subscript"/>
        </w:rPr>
        <w:t>2</w:t>
      </w:r>
      <w:r>
        <w:rPr>
          <w:szCs w:val="20"/>
        </w:rPr>
        <w:t>=17.07 kHz</w:t>
      </w:r>
      <w:r w:rsidR="005274F3">
        <w:rPr>
          <w:szCs w:val="20"/>
        </w:rPr>
        <w:t>, then only every 256</w:t>
      </w:r>
      <w:r w:rsidR="005274F3" w:rsidRPr="005274F3">
        <w:rPr>
          <w:szCs w:val="20"/>
          <w:vertAlign w:val="superscript"/>
        </w:rPr>
        <w:t>th</w:t>
      </w:r>
      <w:r w:rsidR="005274F3">
        <w:rPr>
          <w:szCs w:val="20"/>
        </w:rPr>
        <w:t xml:space="preserve"> subcarrier of the 1</w:t>
      </w:r>
      <w:r w:rsidR="005274F3" w:rsidRPr="005274F3">
        <w:rPr>
          <w:szCs w:val="20"/>
          <w:vertAlign w:val="superscript"/>
        </w:rPr>
        <w:t>st</w:t>
      </w:r>
      <w:r w:rsidR="005274F3">
        <w:rPr>
          <w:szCs w:val="20"/>
        </w:rPr>
        <w:t xml:space="preserve"> numerology will coincide with a subcarrier of the 2</w:t>
      </w:r>
      <w:r w:rsidR="005274F3" w:rsidRPr="005274F3">
        <w:rPr>
          <w:szCs w:val="20"/>
          <w:vertAlign w:val="superscript"/>
        </w:rPr>
        <w:t>nd</w:t>
      </w:r>
      <w:r w:rsidR="005274F3">
        <w:rPr>
          <w:szCs w:val="20"/>
        </w:rPr>
        <w:t xml:space="preserve"> numerology.</w:t>
      </w:r>
    </w:p>
    <w:p w:rsidR="007F3EF2" w:rsidRDefault="00D93AC6" w:rsidP="007F3EF2">
      <w:pPr>
        <w:numPr>
          <w:ilvl w:val="0"/>
          <w:numId w:val="1"/>
        </w:numPr>
        <w:ind w:left="357" w:hanging="357"/>
        <w:rPr>
          <w:b/>
          <w:sz w:val="30"/>
          <w:szCs w:val="30"/>
        </w:rPr>
      </w:pPr>
      <w:bookmarkStart w:id="3" w:name="_Ref450591606"/>
      <w:r>
        <w:rPr>
          <w:b/>
          <w:sz w:val="30"/>
          <w:szCs w:val="30"/>
        </w:rPr>
        <w:t>Resource Allocation</w:t>
      </w:r>
      <w:r w:rsidR="007F3EF2">
        <w:rPr>
          <w:b/>
          <w:sz w:val="30"/>
          <w:szCs w:val="30"/>
        </w:rPr>
        <w:t xml:space="preserve"> for Multiple Numerologies</w:t>
      </w:r>
      <w:r>
        <w:rPr>
          <w:b/>
          <w:sz w:val="30"/>
          <w:szCs w:val="30"/>
        </w:rPr>
        <w:t xml:space="preserve"> With RB-width Scaling with M</w:t>
      </w:r>
      <w:bookmarkEnd w:id="3"/>
    </w:p>
    <w:p w:rsidR="007F3EF2" w:rsidRDefault="007F3EF2" w:rsidP="00921D45">
      <w:pPr>
        <w:adjustRightInd/>
        <w:snapToGrid w:val="0"/>
        <w:spacing w:afterLines="50" w:line="276" w:lineRule="auto"/>
        <w:jc w:val="both"/>
        <w:rPr>
          <w:szCs w:val="20"/>
        </w:rPr>
      </w:pPr>
      <w:r>
        <w:rPr>
          <w:szCs w:val="20"/>
        </w:rPr>
        <w:t>The re</w:t>
      </w:r>
      <w:r w:rsidR="007E267A">
        <w:rPr>
          <w:szCs w:val="20"/>
        </w:rPr>
        <w:t>source allocation framework based on</w:t>
      </w:r>
      <w:r>
        <w:rPr>
          <w:szCs w:val="20"/>
        </w:rPr>
        <w:t xml:space="preserve"> resource blocks (RBs) provides an efficient way to communicate resource allocations. </w:t>
      </w:r>
      <w:r w:rsidR="00856CC3">
        <w:rPr>
          <w:szCs w:val="20"/>
        </w:rPr>
        <w:t xml:space="preserve">Therefore, we assume that some sort of RB concept will be needed for NR. </w:t>
      </w:r>
      <w:r>
        <w:rPr>
          <w:szCs w:val="20"/>
        </w:rPr>
        <w:t xml:space="preserve">However, the definition of an RB is </w:t>
      </w:r>
      <w:r w:rsidR="00856CC3">
        <w:rPr>
          <w:szCs w:val="20"/>
        </w:rPr>
        <w:t xml:space="preserve">traditionally </w:t>
      </w:r>
      <w:r>
        <w:rPr>
          <w:szCs w:val="20"/>
        </w:rPr>
        <w:t xml:space="preserve">tightly connected to </w:t>
      </w:r>
      <w:r w:rsidR="00AC7216">
        <w:rPr>
          <w:szCs w:val="20"/>
        </w:rPr>
        <w:t xml:space="preserve">the </w:t>
      </w:r>
      <w:r>
        <w:rPr>
          <w:szCs w:val="20"/>
        </w:rPr>
        <w:t>numerology.</w:t>
      </w:r>
      <w:r w:rsidR="00AC7216">
        <w:rPr>
          <w:szCs w:val="20"/>
        </w:rPr>
        <w:t xml:space="preserve"> </w:t>
      </w:r>
      <w:r>
        <w:rPr>
          <w:szCs w:val="20"/>
        </w:rPr>
        <w:t>Hence, when multiple different numerologies are scheduled, the concept of RBs needs to be revisited.</w:t>
      </w:r>
      <w:r w:rsidR="00856CC3">
        <w:rPr>
          <w:szCs w:val="20"/>
        </w:rPr>
        <w:t xml:space="preserve"> Please note that only the frequency domain aspect of RBs is considered here.</w:t>
      </w:r>
    </w:p>
    <w:p w:rsidR="00466A01" w:rsidRDefault="007F3EF2" w:rsidP="00921D45">
      <w:pPr>
        <w:adjustRightInd/>
        <w:snapToGrid w:val="0"/>
        <w:spacing w:afterLines="50" w:line="276" w:lineRule="auto"/>
        <w:jc w:val="both"/>
        <w:rPr>
          <w:szCs w:val="20"/>
        </w:rPr>
      </w:pPr>
      <w:r>
        <w:rPr>
          <w:szCs w:val="20"/>
        </w:rPr>
        <w:t xml:space="preserve">For </w:t>
      </w:r>
      <w:r w:rsidR="00B578C5">
        <w:rPr>
          <w:szCs w:val="20"/>
        </w:rPr>
        <w:t>example</w:t>
      </w:r>
      <w:r>
        <w:rPr>
          <w:szCs w:val="20"/>
        </w:rPr>
        <w:t>, consider th</w:t>
      </w:r>
      <w:r w:rsidR="00466A01">
        <w:rPr>
          <w:szCs w:val="20"/>
        </w:rPr>
        <w:t>e simultaneous scheduling of three</w:t>
      </w:r>
      <w:r>
        <w:rPr>
          <w:szCs w:val="20"/>
        </w:rPr>
        <w:t xml:space="preserve"> numerologies where</w:t>
      </w:r>
      <w:r w:rsidR="00466A01">
        <w:rPr>
          <w:szCs w:val="20"/>
        </w:rPr>
        <w:t xml:space="preserve"> </w:t>
      </w:r>
      <w:r w:rsidR="00466A01">
        <w:rPr>
          <w:rFonts w:ascii="Cambria Math" w:hAnsi="Cambria Math"/>
          <w:szCs w:val="20"/>
        </w:rPr>
        <w:t>∆</w:t>
      </w:r>
      <w:r w:rsidR="00466A01">
        <w:rPr>
          <w:szCs w:val="20"/>
        </w:rPr>
        <w:t>f</w:t>
      </w:r>
      <w:r w:rsidR="00466A01">
        <w:rPr>
          <w:szCs w:val="20"/>
          <w:vertAlign w:val="subscript"/>
        </w:rPr>
        <w:t>2</w:t>
      </w:r>
      <w:r w:rsidR="00466A01">
        <w:rPr>
          <w:szCs w:val="20"/>
        </w:rPr>
        <w:t xml:space="preserve"> = 2*</w:t>
      </w:r>
      <w:r w:rsidR="00466A01">
        <w:rPr>
          <w:rFonts w:ascii="Cambria Math" w:hAnsi="Cambria Math"/>
          <w:szCs w:val="20"/>
        </w:rPr>
        <w:t>∆</w:t>
      </w:r>
      <w:r w:rsidR="00466A01">
        <w:rPr>
          <w:szCs w:val="20"/>
        </w:rPr>
        <w:t>f</w:t>
      </w:r>
      <w:r w:rsidR="00466A01">
        <w:rPr>
          <w:szCs w:val="20"/>
          <w:vertAlign w:val="subscript"/>
        </w:rPr>
        <w:t>1</w:t>
      </w:r>
      <w:r w:rsidR="00466A01">
        <w:rPr>
          <w:szCs w:val="20"/>
        </w:rPr>
        <w:t xml:space="preserve"> and</w:t>
      </w:r>
      <w:r>
        <w:rPr>
          <w:szCs w:val="20"/>
        </w:rPr>
        <w:t xml:space="preserve"> </w:t>
      </w:r>
      <w:r>
        <w:rPr>
          <w:rFonts w:ascii="Cambria Math" w:hAnsi="Cambria Math"/>
          <w:szCs w:val="20"/>
        </w:rPr>
        <w:t>∆</w:t>
      </w:r>
      <w:r>
        <w:rPr>
          <w:szCs w:val="20"/>
        </w:rPr>
        <w:t>f</w:t>
      </w:r>
      <w:r w:rsidR="00856CC3">
        <w:rPr>
          <w:szCs w:val="20"/>
          <w:vertAlign w:val="subscript"/>
        </w:rPr>
        <w:t>4</w:t>
      </w:r>
      <w:r>
        <w:rPr>
          <w:szCs w:val="20"/>
        </w:rPr>
        <w:t xml:space="preserve"> = </w:t>
      </w:r>
      <w:r w:rsidR="00466A01">
        <w:rPr>
          <w:szCs w:val="20"/>
        </w:rPr>
        <w:t>4</w:t>
      </w:r>
      <w:r>
        <w:rPr>
          <w:szCs w:val="20"/>
        </w:rPr>
        <w:t>*</w:t>
      </w:r>
      <w:r>
        <w:rPr>
          <w:rFonts w:ascii="Cambria Math" w:hAnsi="Cambria Math"/>
          <w:szCs w:val="20"/>
        </w:rPr>
        <w:t>∆</w:t>
      </w:r>
      <w:r>
        <w:rPr>
          <w:szCs w:val="20"/>
        </w:rPr>
        <w:t>f</w:t>
      </w:r>
      <w:r>
        <w:rPr>
          <w:szCs w:val="20"/>
          <w:vertAlign w:val="subscript"/>
        </w:rPr>
        <w:t>1</w:t>
      </w:r>
      <w:r>
        <w:rPr>
          <w:szCs w:val="20"/>
        </w:rPr>
        <w:t>. Assuming that an RB has a certain number of subcarriers</w:t>
      </w:r>
      <w:r w:rsidR="005A0289">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RB</m:t>
            </m:r>
          </m:sub>
          <m:sup>
            <m:r>
              <w:rPr>
                <w:rFonts w:ascii="Cambria Math" w:hAnsi="Cambria Math"/>
                <w:szCs w:val="20"/>
              </w:rPr>
              <m:t>sc</m:t>
            </m:r>
          </m:sup>
        </m:sSubSup>
      </m:oMath>
      <w:r w:rsidR="007E267A">
        <w:rPr>
          <w:szCs w:val="20"/>
        </w:rPr>
        <w:t xml:space="preserve"> (e.g. 12</w:t>
      </w:r>
      <w:r w:rsidR="00D93AC6">
        <w:rPr>
          <w:szCs w:val="20"/>
        </w:rPr>
        <w:t xml:space="preserve"> as in LTE</w:t>
      </w:r>
      <w:r w:rsidR="007E267A">
        <w:rPr>
          <w:szCs w:val="20"/>
        </w:rPr>
        <w:t>)</w:t>
      </w:r>
      <w:r w:rsidR="00466A01">
        <w:rPr>
          <w:szCs w:val="20"/>
        </w:rPr>
        <w:t>, the</w:t>
      </w:r>
      <w:r>
        <w:rPr>
          <w:szCs w:val="20"/>
        </w:rPr>
        <w:t xml:space="preserve"> RB</w:t>
      </w:r>
      <w:r w:rsidR="00466A01">
        <w:rPr>
          <w:szCs w:val="20"/>
        </w:rPr>
        <w:t>s</w:t>
      </w:r>
      <w:r>
        <w:rPr>
          <w:szCs w:val="20"/>
        </w:rPr>
        <w:t xml:space="preserve"> of the</w:t>
      </w:r>
      <w:r w:rsidR="00784191">
        <w:rPr>
          <w:szCs w:val="20"/>
        </w:rPr>
        <w:t xml:space="preserve"> scaled numerologies (M=2 and M=4)</w:t>
      </w:r>
      <w:r w:rsidR="006D52EC">
        <w:rPr>
          <w:szCs w:val="20"/>
        </w:rPr>
        <w:t xml:space="preserve"> would</w:t>
      </w:r>
      <w:r w:rsidR="00466A01">
        <w:rPr>
          <w:szCs w:val="20"/>
        </w:rPr>
        <w:t xml:space="preserve"> be twice</w:t>
      </w:r>
      <w:r>
        <w:rPr>
          <w:szCs w:val="20"/>
        </w:rPr>
        <w:t xml:space="preserve"> </w:t>
      </w:r>
      <w:r w:rsidR="00784191">
        <w:rPr>
          <w:szCs w:val="20"/>
        </w:rPr>
        <w:t>and four</w:t>
      </w:r>
      <w:r w:rsidR="00466A01">
        <w:rPr>
          <w:szCs w:val="20"/>
        </w:rPr>
        <w:t xml:space="preserve"> </w:t>
      </w:r>
      <w:r>
        <w:rPr>
          <w:szCs w:val="20"/>
        </w:rPr>
        <w:t>times a</w:t>
      </w:r>
      <w:r w:rsidR="006C2467">
        <w:rPr>
          <w:szCs w:val="20"/>
        </w:rPr>
        <w:t>s</w:t>
      </w:r>
      <w:r>
        <w:rPr>
          <w:szCs w:val="20"/>
        </w:rPr>
        <w:t xml:space="preserve"> wide as an RB of the first numerology</w:t>
      </w:r>
      <w:r w:rsidR="00784191">
        <w:rPr>
          <w:szCs w:val="20"/>
        </w:rPr>
        <w:t>, respectively, i.e. f</w:t>
      </w:r>
      <w:r w:rsidR="00784191" w:rsidRPr="00784191">
        <w:rPr>
          <w:szCs w:val="20"/>
          <w:vertAlign w:val="subscript"/>
        </w:rPr>
        <w:t>RB</w:t>
      </w:r>
      <w:r w:rsidR="009402E9">
        <w:rPr>
          <w:szCs w:val="20"/>
          <w:vertAlign w:val="subscript"/>
        </w:rPr>
        <w:t>_</w:t>
      </w:r>
      <w:r w:rsidR="00784191" w:rsidRPr="00784191">
        <w:rPr>
          <w:szCs w:val="20"/>
          <w:vertAlign w:val="subscript"/>
        </w:rPr>
        <w:t>4</w:t>
      </w:r>
      <w:r w:rsidR="00784191">
        <w:rPr>
          <w:szCs w:val="20"/>
        </w:rPr>
        <w:t>=2*f</w:t>
      </w:r>
      <w:r w:rsidR="00784191" w:rsidRPr="00784191">
        <w:rPr>
          <w:szCs w:val="20"/>
          <w:vertAlign w:val="subscript"/>
        </w:rPr>
        <w:t>RB</w:t>
      </w:r>
      <w:r w:rsidR="009402E9">
        <w:rPr>
          <w:szCs w:val="20"/>
          <w:vertAlign w:val="subscript"/>
        </w:rPr>
        <w:t>_</w:t>
      </w:r>
      <w:r w:rsidR="00784191" w:rsidRPr="00784191">
        <w:rPr>
          <w:szCs w:val="20"/>
          <w:vertAlign w:val="subscript"/>
        </w:rPr>
        <w:t>2</w:t>
      </w:r>
      <w:r w:rsidR="00784191">
        <w:rPr>
          <w:szCs w:val="20"/>
        </w:rPr>
        <w:t>=4*f</w:t>
      </w:r>
      <w:r w:rsidR="00784191" w:rsidRPr="00784191">
        <w:rPr>
          <w:szCs w:val="20"/>
          <w:vertAlign w:val="subscript"/>
        </w:rPr>
        <w:t>RB</w:t>
      </w:r>
      <w:r w:rsidR="009402E9">
        <w:rPr>
          <w:szCs w:val="20"/>
          <w:vertAlign w:val="subscript"/>
        </w:rPr>
        <w:t>_</w:t>
      </w:r>
      <w:r w:rsidR="00784191" w:rsidRPr="00784191">
        <w:rPr>
          <w:szCs w:val="20"/>
          <w:vertAlign w:val="subscript"/>
        </w:rPr>
        <w:t>1</w:t>
      </w:r>
      <w:r w:rsidR="00784191">
        <w:rPr>
          <w:szCs w:val="20"/>
        </w:rPr>
        <w:t>.</w:t>
      </w:r>
      <w:r w:rsidR="00466A01">
        <w:rPr>
          <w:szCs w:val="20"/>
        </w:rPr>
        <w:t xml:space="preserve"> This is illustrated in </w:t>
      </w:r>
      <w:r w:rsidR="0022597F">
        <w:rPr>
          <w:szCs w:val="20"/>
        </w:rPr>
        <w:fldChar w:fldCharType="begin"/>
      </w:r>
      <w:r w:rsidR="00886503">
        <w:rPr>
          <w:szCs w:val="20"/>
        </w:rPr>
        <w:instrText xml:space="preserve"> REF _Ref450574589 \h </w:instrText>
      </w:r>
      <w:r w:rsidR="0022597F">
        <w:rPr>
          <w:szCs w:val="20"/>
        </w:rPr>
      </w:r>
      <w:r w:rsidR="0022597F">
        <w:rPr>
          <w:szCs w:val="20"/>
        </w:rPr>
        <w:fldChar w:fldCharType="separate"/>
      </w:r>
      <w:r w:rsidR="00F610CA">
        <w:t xml:space="preserve">Figure </w:t>
      </w:r>
      <w:r w:rsidR="00F610CA">
        <w:rPr>
          <w:noProof/>
        </w:rPr>
        <w:t>1</w:t>
      </w:r>
      <w:r w:rsidR="0022597F">
        <w:rPr>
          <w:szCs w:val="20"/>
        </w:rPr>
        <w:fldChar w:fldCharType="end"/>
      </w:r>
      <w:r w:rsidR="00886503">
        <w:rPr>
          <w:szCs w:val="20"/>
        </w:rPr>
        <w:t xml:space="preserve"> where the three numerologies are time and frequency multiplexed. Since </w:t>
      </w:r>
      <w:r w:rsidR="00856CC3">
        <w:rPr>
          <w:szCs w:val="20"/>
        </w:rPr>
        <w:t xml:space="preserve">also </w:t>
      </w:r>
      <w:r w:rsidR="00886503">
        <w:rPr>
          <w:szCs w:val="20"/>
        </w:rPr>
        <w:t>the symbol duration is scaled</w:t>
      </w:r>
      <w:r w:rsidR="00856CC3">
        <w:rPr>
          <w:szCs w:val="20"/>
        </w:rPr>
        <w:t xml:space="preserve"> with M</w:t>
      </w:r>
      <w:r w:rsidR="00886503">
        <w:rPr>
          <w:szCs w:val="20"/>
        </w:rPr>
        <w:t>, the RB duration in time is scaled with a factor 2 and 4 for M=2 and M=4, respectively.</w:t>
      </w:r>
      <w:r w:rsidR="00784191">
        <w:rPr>
          <w:szCs w:val="20"/>
        </w:rPr>
        <w:t xml:space="preserve"> Note that guard subcarriers are </w:t>
      </w:r>
      <w:r w:rsidR="00856CC3">
        <w:rPr>
          <w:szCs w:val="20"/>
        </w:rPr>
        <w:t xml:space="preserve">typically </w:t>
      </w:r>
      <w:r w:rsidR="00784191">
        <w:rPr>
          <w:szCs w:val="20"/>
        </w:rPr>
        <w:t>needed regardless if all numerologies are of the same family</w:t>
      </w:r>
      <w:r w:rsidR="00856CC3">
        <w:rPr>
          <w:szCs w:val="20"/>
        </w:rPr>
        <w:t>, i.e. related through scaling, due to INI</w:t>
      </w:r>
      <w:r w:rsidR="00784191">
        <w:rPr>
          <w:szCs w:val="20"/>
        </w:rPr>
        <w:t xml:space="preserve">. Also note that </w:t>
      </w:r>
      <w:r w:rsidR="00856CC3">
        <w:rPr>
          <w:szCs w:val="20"/>
        </w:rPr>
        <w:t xml:space="preserve">NR subframes and </w:t>
      </w:r>
      <w:r w:rsidR="00784191">
        <w:rPr>
          <w:szCs w:val="20"/>
        </w:rPr>
        <w:t xml:space="preserve">subframe aggregation in time is not considered in this contribution, instead please see </w:t>
      </w:r>
      <w:r w:rsidR="0022597F">
        <w:rPr>
          <w:szCs w:val="20"/>
        </w:rPr>
        <w:fldChar w:fldCharType="begin"/>
      </w:r>
      <w:r w:rsidR="00784191">
        <w:rPr>
          <w:szCs w:val="20"/>
        </w:rPr>
        <w:instrText xml:space="preserve"> REF _Ref449623523 \n \h </w:instrText>
      </w:r>
      <w:r w:rsidR="0022597F">
        <w:rPr>
          <w:szCs w:val="20"/>
        </w:rPr>
      </w:r>
      <w:r w:rsidR="0022597F">
        <w:rPr>
          <w:szCs w:val="20"/>
        </w:rPr>
        <w:fldChar w:fldCharType="separate"/>
      </w:r>
      <w:r w:rsidR="00F610CA">
        <w:rPr>
          <w:szCs w:val="20"/>
        </w:rPr>
        <w:t>[3]</w:t>
      </w:r>
      <w:r w:rsidR="0022597F">
        <w:rPr>
          <w:szCs w:val="20"/>
        </w:rPr>
        <w:fldChar w:fldCharType="end"/>
      </w:r>
      <w:r w:rsidR="00856CC3">
        <w:rPr>
          <w:szCs w:val="20"/>
        </w:rPr>
        <w:t xml:space="preserve"> for more discussions on the number of symbols per subframe</w:t>
      </w:r>
      <w:r w:rsidR="00784191">
        <w:rPr>
          <w:szCs w:val="20"/>
        </w:rPr>
        <w:t xml:space="preserve">. </w:t>
      </w:r>
      <w:r w:rsidR="001B2CDE">
        <w:rPr>
          <w:szCs w:val="20"/>
        </w:rPr>
        <w:t xml:space="preserve">The subframes in the following figures and examples are 8 symbols long. This is just an example for illustration. </w:t>
      </w:r>
    </w:p>
    <w:p w:rsidR="00466A01" w:rsidRDefault="009402E9" w:rsidP="00921D45">
      <w:pPr>
        <w:adjustRightInd/>
        <w:snapToGrid w:val="0"/>
        <w:spacing w:afterLines="50" w:line="276" w:lineRule="auto"/>
        <w:jc w:val="both"/>
        <w:rPr>
          <w:szCs w:val="20"/>
        </w:rPr>
      </w:pPr>
      <w:r w:rsidRPr="009402E9">
        <w:rPr>
          <w:noProof/>
          <w:szCs w:val="20"/>
          <w:lang w:val="en-GB" w:eastAsia="en-GB"/>
        </w:rPr>
        <w:lastRenderedPageBreak/>
        <w:drawing>
          <wp:inline distT="0" distB="0" distL="0" distR="0">
            <wp:extent cx="5009322" cy="2846567"/>
            <wp:effectExtent l="0" t="0" r="0" b="0"/>
            <wp:docPr id="18" name="Object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320171" cy="3203377"/>
                      <a:chOff x="228600" y="1600200"/>
                      <a:chExt cx="5320171" cy="3203377"/>
                    </a:xfrm>
                  </a:grpSpPr>
                  <a:sp>
                    <a:nvSpPr>
                      <a:cNvPr id="243" name="Rectangle 242"/>
                      <a:cNvSpPr/>
                    </a:nvSpPr>
                    <a:spPr>
                      <a:xfrm>
                        <a:off x="2133600" y="3276600"/>
                        <a:ext cx="1219200" cy="228600"/>
                      </a:xfrm>
                      <a:prstGeom prst="rect">
                        <a:avLst/>
                      </a:prstGeom>
                      <a:solidFill>
                        <a:schemeClr val="bg1">
                          <a:lumMod val="85000"/>
                        </a:schemeClr>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6" name="Group 35"/>
                      <a:cNvGrpSpPr/>
                    </a:nvGrpSpPr>
                    <a:grpSpPr>
                      <a:xfrm>
                        <a:off x="2743200" y="2514600"/>
                        <a:ext cx="609600" cy="914400"/>
                        <a:chOff x="2438400" y="2514600"/>
                        <a:chExt cx="609600" cy="914400"/>
                      </a:xfrm>
                    </a:grpSpPr>
                    <a:cxnSp>
                      <a:nvCxnSpPr>
                        <a:cNvPr id="3" name="Straight Connector 2"/>
                        <a:cNvCxnSpPr/>
                      </a:nvCxnSpPr>
                      <a:spPr>
                        <a:xfrm>
                          <a:off x="24384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 name="Straight Connector 3"/>
                        <a:cNvCxnSpPr/>
                      </a:nvCxnSpPr>
                      <a:spPr>
                        <a:xfrm>
                          <a:off x="2514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 name="Straight Connector 4"/>
                        <a:cNvCxnSpPr/>
                      </a:nvCxnSpPr>
                      <a:spPr>
                        <a:xfrm>
                          <a:off x="2590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 name="Straight Connector 5"/>
                        <a:cNvCxnSpPr/>
                      </a:nvCxnSpPr>
                      <a:spPr>
                        <a:xfrm>
                          <a:off x="26670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27432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 name="Straight Connector 7"/>
                        <a:cNvCxnSpPr/>
                      </a:nvCxnSpPr>
                      <a:spPr>
                        <a:xfrm>
                          <a:off x="28194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2895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2971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a:off x="30480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1"/>
                        <a:cNvCxnSpPr/>
                      </a:nvCxnSpPr>
                      <a:spPr>
                        <a:xfrm>
                          <a:off x="2438400" y="25146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2438400" y="34290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2438400" y="3352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2438400" y="3276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2438400" y="3200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 name="Straight Connector 18"/>
                        <a:cNvCxnSpPr/>
                      </a:nvCxnSpPr>
                      <a:spPr>
                        <a:xfrm>
                          <a:off x="2438400" y="3124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 name="Straight Connector 19"/>
                        <a:cNvCxnSpPr/>
                      </a:nvCxnSpPr>
                      <a:spPr>
                        <a:xfrm>
                          <a:off x="2438400" y="3048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2438400" y="2971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 name="Straight Connector 21"/>
                        <a:cNvCxnSpPr/>
                      </a:nvCxnSpPr>
                      <a:spPr>
                        <a:xfrm>
                          <a:off x="2438400" y="2895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2438400" y="2819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2438400" y="2743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2438400" y="2667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a:off x="2438400" y="2590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37" name="Group 36"/>
                      <a:cNvGrpSpPr/>
                    </a:nvGrpSpPr>
                    <a:grpSpPr>
                      <a:xfrm>
                        <a:off x="2133600" y="1600200"/>
                        <a:ext cx="304800" cy="1828800"/>
                        <a:chOff x="2438400" y="2514600"/>
                        <a:chExt cx="609600" cy="914400"/>
                      </a:xfrm>
                    </a:grpSpPr>
                    <a:cxnSp>
                      <a:nvCxnSpPr>
                        <a:cNvPr id="38" name="Straight Connector 37"/>
                        <a:cNvCxnSpPr/>
                      </a:nvCxnSpPr>
                      <a:spPr>
                        <a:xfrm>
                          <a:off x="24384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9" name="Straight Connector 38"/>
                        <a:cNvCxnSpPr/>
                      </a:nvCxnSpPr>
                      <a:spPr>
                        <a:xfrm>
                          <a:off x="2514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Straight Connector 39"/>
                        <a:cNvCxnSpPr/>
                      </a:nvCxnSpPr>
                      <a:spPr>
                        <a:xfrm>
                          <a:off x="2590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Straight Connector 40"/>
                        <a:cNvCxnSpPr/>
                      </a:nvCxnSpPr>
                      <a:spPr>
                        <a:xfrm>
                          <a:off x="26670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2" name="Straight Connector 41"/>
                        <a:cNvCxnSpPr/>
                      </a:nvCxnSpPr>
                      <a:spPr>
                        <a:xfrm>
                          <a:off x="27432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Connector 42"/>
                        <a:cNvCxnSpPr/>
                      </a:nvCxnSpPr>
                      <a:spPr>
                        <a:xfrm>
                          <a:off x="28194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4" name="Straight Connector 43"/>
                        <a:cNvCxnSpPr/>
                      </a:nvCxnSpPr>
                      <a:spPr>
                        <a:xfrm>
                          <a:off x="2895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a:off x="2971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a:off x="30480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7" name="Straight Connector 46"/>
                        <a:cNvCxnSpPr/>
                      </a:nvCxnSpPr>
                      <a:spPr>
                        <a:xfrm>
                          <a:off x="2438400" y="25146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8" name="Straight Connector 47"/>
                        <a:cNvCxnSpPr/>
                      </a:nvCxnSpPr>
                      <a:spPr>
                        <a:xfrm>
                          <a:off x="2438400" y="34290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2438400" y="3352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Straight Connector 49"/>
                        <a:cNvCxnSpPr/>
                      </a:nvCxnSpPr>
                      <a:spPr>
                        <a:xfrm>
                          <a:off x="2438400" y="3276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1" name="Straight Connector 50"/>
                        <a:cNvCxnSpPr/>
                      </a:nvCxnSpPr>
                      <a:spPr>
                        <a:xfrm>
                          <a:off x="2438400" y="3200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2" name="Straight Connector 51"/>
                        <a:cNvCxnSpPr/>
                      </a:nvCxnSpPr>
                      <a:spPr>
                        <a:xfrm>
                          <a:off x="2438400" y="3124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3" name="Straight Connector 52"/>
                        <a:cNvCxnSpPr/>
                      </a:nvCxnSpPr>
                      <a:spPr>
                        <a:xfrm>
                          <a:off x="2438400" y="3048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4" name="Straight Connector 53"/>
                        <a:cNvCxnSpPr/>
                      </a:nvCxnSpPr>
                      <a:spPr>
                        <a:xfrm>
                          <a:off x="2438400" y="2971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5" name="Straight Connector 54"/>
                        <a:cNvCxnSpPr/>
                      </a:nvCxnSpPr>
                      <a:spPr>
                        <a:xfrm>
                          <a:off x="2438400" y="2895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6" name="Straight Connector 55"/>
                        <a:cNvCxnSpPr/>
                      </a:nvCxnSpPr>
                      <a:spPr>
                        <a:xfrm>
                          <a:off x="2438400" y="2819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7" name="Straight Connector 56"/>
                        <a:cNvCxnSpPr/>
                      </a:nvCxnSpPr>
                      <a:spPr>
                        <a:xfrm>
                          <a:off x="2438400" y="2743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8" name="Straight Connector 57"/>
                        <a:cNvCxnSpPr/>
                      </a:nvCxnSpPr>
                      <a:spPr>
                        <a:xfrm>
                          <a:off x="2438400" y="2667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9" name="Straight Connector 58"/>
                        <a:cNvCxnSpPr/>
                      </a:nvCxnSpPr>
                      <a:spPr>
                        <a:xfrm>
                          <a:off x="2438400" y="2590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60" name="Group 59"/>
                      <a:cNvGrpSpPr/>
                    </a:nvGrpSpPr>
                    <a:grpSpPr>
                      <a:xfrm>
                        <a:off x="2743200" y="1600200"/>
                        <a:ext cx="609600" cy="914400"/>
                        <a:chOff x="2438400" y="2514600"/>
                        <a:chExt cx="609600" cy="914400"/>
                      </a:xfrm>
                    </a:grpSpPr>
                    <a:cxnSp>
                      <a:nvCxnSpPr>
                        <a:cNvPr id="61" name="Straight Connector 60"/>
                        <a:cNvCxnSpPr/>
                      </a:nvCxnSpPr>
                      <a:spPr>
                        <a:xfrm>
                          <a:off x="24384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2514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a:off x="2590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4" name="Straight Connector 63"/>
                        <a:cNvCxnSpPr/>
                      </a:nvCxnSpPr>
                      <a:spPr>
                        <a:xfrm>
                          <a:off x="26670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5" name="Straight Connector 64"/>
                        <a:cNvCxnSpPr/>
                      </a:nvCxnSpPr>
                      <a:spPr>
                        <a:xfrm>
                          <a:off x="27432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6" name="Straight Connector 65"/>
                        <a:cNvCxnSpPr/>
                      </a:nvCxnSpPr>
                      <a:spPr>
                        <a:xfrm>
                          <a:off x="28194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7" name="Straight Connector 66"/>
                        <a:cNvCxnSpPr/>
                      </a:nvCxnSpPr>
                      <a:spPr>
                        <a:xfrm>
                          <a:off x="2895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8" name="Straight Connector 67"/>
                        <a:cNvCxnSpPr/>
                      </a:nvCxnSpPr>
                      <a:spPr>
                        <a:xfrm>
                          <a:off x="2971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9" name="Straight Connector 68"/>
                        <a:cNvCxnSpPr/>
                      </a:nvCxnSpPr>
                      <a:spPr>
                        <a:xfrm>
                          <a:off x="30480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0" name="Straight Connector 69"/>
                        <a:cNvCxnSpPr/>
                      </a:nvCxnSpPr>
                      <a:spPr>
                        <a:xfrm>
                          <a:off x="2438400" y="25146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1" name="Straight Connector 70"/>
                        <a:cNvCxnSpPr/>
                      </a:nvCxnSpPr>
                      <a:spPr>
                        <a:xfrm>
                          <a:off x="2438400" y="34290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2438400" y="3352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3" name="Straight Connector 72"/>
                        <a:cNvCxnSpPr/>
                      </a:nvCxnSpPr>
                      <a:spPr>
                        <a:xfrm>
                          <a:off x="2438400" y="3276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2438400" y="3200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5" name="Straight Connector 74"/>
                        <a:cNvCxnSpPr/>
                      </a:nvCxnSpPr>
                      <a:spPr>
                        <a:xfrm>
                          <a:off x="2438400" y="3124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a:off x="2438400" y="3048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7" name="Straight Connector 76"/>
                        <a:cNvCxnSpPr/>
                      </a:nvCxnSpPr>
                      <a:spPr>
                        <a:xfrm>
                          <a:off x="2438400" y="2971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a:off x="2438400" y="2895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9" name="Straight Connector 78"/>
                        <a:cNvCxnSpPr/>
                      </a:nvCxnSpPr>
                      <a:spPr>
                        <a:xfrm>
                          <a:off x="2438400" y="2819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a:off x="2438400" y="2743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1" name="Straight Connector 80"/>
                        <a:cNvCxnSpPr/>
                      </a:nvCxnSpPr>
                      <a:spPr>
                        <a:xfrm>
                          <a:off x="2438400" y="2667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2" name="Straight Connector 81"/>
                        <a:cNvCxnSpPr/>
                      </a:nvCxnSpPr>
                      <a:spPr>
                        <a:xfrm>
                          <a:off x="2438400" y="2590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83" name="Group 82"/>
                      <a:cNvGrpSpPr/>
                    </a:nvGrpSpPr>
                    <a:grpSpPr>
                      <a:xfrm>
                        <a:off x="2438400" y="1600200"/>
                        <a:ext cx="304800" cy="1828800"/>
                        <a:chOff x="2438400" y="2514600"/>
                        <a:chExt cx="609600" cy="914400"/>
                      </a:xfrm>
                    </a:grpSpPr>
                    <a:cxnSp>
                      <a:nvCxnSpPr>
                        <a:cNvPr id="84" name="Straight Connector 83"/>
                        <a:cNvCxnSpPr/>
                      </a:nvCxnSpPr>
                      <a:spPr>
                        <a:xfrm>
                          <a:off x="24384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a:off x="2514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6" name="Straight Connector 85"/>
                        <a:cNvCxnSpPr/>
                      </a:nvCxnSpPr>
                      <a:spPr>
                        <a:xfrm>
                          <a:off x="2590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7" name="Straight Connector 86"/>
                        <a:cNvCxnSpPr/>
                      </a:nvCxnSpPr>
                      <a:spPr>
                        <a:xfrm>
                          <a:off x="26670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8" name="Straight Connector 87"/>
                        <a:cNvCxnSpPr/>
                      </a:nvCxnSpPr>
                      <a:spPr>
                        <a:xfrm>
                          <a:off x="27432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9" name="Straight Connector 88"/>
                        <a:cNvCxnSpPr/>
                      </a:nvCxnSpPr>
                      <a:spPr>
                        <a:xfrm>
                          <a:off x="28194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0" name="Straight Connector 89"/>
                        <a:cNvCxnSpPr/>
                      </a:nvCxnSpPr>
                      <a:spPr>
                        <a:xfrm>
                          <a:off x="2895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1" name="Straight Connector 90"/>
                        <a:cNvCxnSpPr/>
                      </a:nvCxnSpPr>
                      <a:spPr>
                        <a:xfrm>
                          <a:off x="2971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2" name="Straight Connector 91"/>
                        <a:cNvCxnSpPr/>
                      </a:nvCxnSpPr>
                      <a:spPr>
                        <a:xfrm>
                          <a:off x="30480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3" name="Straight Connector 92"/>
                        <a:cNvCxnSpPr/>
                      </a:nvCxnSpPr>
                      <a:spPr>
                        <a:xfrm>
                          <a:off x="2438400" y="25146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4" name="Straight Connector 93"/>
                        <a:cNvCxnSpPr/>
                      </a:nvCxnSpPr>
                      <a:spPr>
                        <a:xfrm>
                          <a:off x="2438400" y="34290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5" name="Straight Connector 94"/>
                        <a:cNvCxnSpPr/>
                      </a:nvCxnSpPr>
                      <a:spPr>
                        <a:xfrm>
                          <a:off x="2438400" y="3352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6" name="Straight Connector 95"/>
                        <a:cNvCxnSpPr/>
                      </a:nvCxnSpPr>
                      <a:spPr>
                        <a:xfrm>
                          <a:off x="2438400" y="3276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7" name="Straight Connector 96"/>
                        <a:cNvCxnSpPr/>
                      </a:nvCxnSpPr>
                      <a:spPr>
                        <a:xfrm>
                          <a:off x="2438400" y="3200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8" name="Straight Connector 97"/>
                        <a:cNvCxnSpPr/>
                      </a:nvCxnSpPr>
                      <a:spPr>
                        <a:xfrm>
                          <a:off x="2438400" y="3124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9" name="Straight Connector 98"/>
                        <a:cNvCxnSpPr/>
                      </a:nvCxnSpPr>
                      <a:spPr>
                        <a:xfrm>
                          <a:off x="2438400" y="3048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0" name="Straight Connector 99"/>
                        <a:cNvCxnSpPr/>
                      </a:nvCxnSpPr>
                      <a:spPr>
                        <a:xfrm>
                          <a:off x="2438400" y="2971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a:off x="2438400" y="2895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2" name="Straight Connector 101"/>
                        <a:cNvCxnSpPr/>
                      </a:nvCxnSpPr>
                      <a:spPr>
                        <a:xfrm>
                          <a:off x="2438400" y="2819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3" name="Straight Connector 102"/>
                        <a:cNvCxnSpPr/>
                      </a:nvCxnSpPr>
                      <a:spPr>
                        <a:xfrm>
                          <a:off x="2438400" y="2743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4" name="Straight Connector 103"/>
                        <a:cNvCxnSpPr/>
                      </a:nvCxnSpPr>
                      <a:spPr>
                        <a:xfrm>
                          <a:off x="2438400" y="2667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2438400" y="2590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29" name="Group 128"/>
                      <a:cNvGrpSpPr/>
                    </a:nvGrpSpPr>
                    <a:grpSpPr>
                      <a:xfrm>
                        <a:off x="2133600" y="3886200"/>
                        <a:ext cx="1219200" cy="457200"/>
                        <a:chOff x="2438400" y="2514600"/>
                        <a:chExt cx="609600" cy="914400"/>
                      </a:xfrm>
                    </a:grpSpPr>
                    <a:cxnSp>
                      <a:nvCxnSpPr>
                        <a:cNvPr id="130" name="Straight Connector 129"/>
                        <a:cNvCxnSpPr/>
                      </a:nvCxnSpPr>
                      <a:spPr>
                        <a:xfrm>
                          <a:off x="24384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1" name="Straight Connector 130"/>
                        <a:cNvCxnSpPr/>
                      </a:nvCxnSpPr>
                      <a:spPr>
                        <a:xfrm>
                          <a:off x="2514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2" name="Straight Connector 131"/>
                        <a:cNvCxnSpPr/>
                      </a:nvCxnSpPr>
                      <a:spPr>
                        <a:xfrm>
                          <a:off x="2590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3" name="Straight Connector 132"/>
                        <a:cNvCxnSpPr/>
                      </a:nvCxnSpPr>
                      <a:spPr>
                        <a:xfrm>
                          <a:off x="26670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4" name="Straight Connector 133"/>
                        <a:cNvCxnSpPr/>
                      </a:nvCxnSpPr>
                      <a:spPr>
                        <a:xfrm>
                          <a:off x="27432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5" name="Straight Connector 134"/>
                        <a:cNvCxnSpPr/>
                      </a:nvCxnSpPr>
                      <a:spPr>
                        <a:xfrm>
                          <a:off x="28194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6" name="Straight Connector 135"/>
                        <a:cNvCxnSpPr/>
                      </a:nvCxnSpPr>
                      <a:spPr>
                        <a:xfrm>
                          <a:off x="2895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7" name="Straight Connector 136"/>
                        <a:cNvCxnSpPr/>
                      </a:nvCxnSpPr>
                      <a:spPr>
                        <a:xfrm>
                          <a:off x="2971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8" name="Straight Connector 137"/>
                        <a:cNvCxnSpPr/>
                      </a:nvCxnSpPr>
                      <a:spPr>
                        <a:xfrm>
                          <a:off x="30480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9" name="Straight Connector 138"/>
                        <a:cNvCxnSpPr/>
                      </a:nvCxnSpPr>
                      <a:spPr>
                        <a:xfrm>
                          <a:off x="2438400" y="25146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0" name="Straight Connector 139"/>
                        <a:cNvCxnSpPr/>
                      </a:nvCxnSpPr>
                      <a:spPr>
                        <a:xfrm>
                          <a:off x="2438400" y="34290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1" name="Straight Connector 140"/>
                        <a:cNvCxnSpPr/>
                      </a:nvCxnSpPr>
                      <a:spPr>
                        <a:xfrm>
                          <a:off x="2438400" y="3352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2" name="Straight Connector 141"/>
                        <a:cNvCxnSpPr/>
                      </a:nvCxnSpPr>
                      <a:spPr>
                        <a:xfrm>
                          <a:off x="2438400" y="3276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3" name="Straight Connector 142"/>
                        <a:cNvCxnSpPr/>
                      </a:nvCxnSpPr>
                      <a:spPr>
                        <a:xfrm>
                          <a:off x="2438400" y="3200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4" name="Straight Connector 143"/>
                        <a:cNvCxnSpPr/>
                      </a:nvCxnSpPr>
                      <a:spPr>
                        <a:xfrm>
                          <a:off x="2438400" y="3124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5" name="Straight Connector 144"/>
                        <a:cNvCxnSpPr/>
                      </a:nvCxnSpPr>
                      <a:spPr>
                        <a:xfrm>
                          <a:off x="2438400" y="3048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6" name="Straight Connector 145"/>
                        <a:cNvCxnSpPr/>
                      </a:nvCxnSpPr>
                      <a:spPr>
                        <a:xfrm>
                          <a:off x="2438400" y="2971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7" name="Straight Connector 146"/>
                        <a:cNvCxnSpPr/>
                      </a:nvCxnSpPr>
                      <a:spPr>
                        <a:xfrm>
                          <a:off x="2438400" y="2895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8" name="Straight Connector 147"/>
                        <a:cNvCxnSpPr/>
                      </a:nvCxnSpPr>
                      <a:spPr>
                        <a:xfrm>
                          <a:off x="2438400" y="2819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9" name="Straight Connector 148"/>
                        <a:cNvCxnSpPr/>
                      </a:nvCxnSpPr>
                      <a:spPr>
                        <a:xfrm>
                          <a:off x="2438400" y="2743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0" name="Straight Connector 149"/>
                        <a:cNvCxnSpPr/>
                      </a:nvCxnSpPr>
                      <a:spPr>
                        <a:xfrm>
                          <a:off x="2438400" y="2667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1" name="Straight Connector 150"/>
                        <a:cNvCxnSpPr/>
                      </a:nvCxnSpPr>
                      <a:spPr>
                        <a:xfrm>
                          <a:off x="2438400" y="2590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152" name="Group 151"/>
                      <a:cNvGrpSpPr/>
                    </a:nvGrpSpPr>
                    <a:grpSpPr>
                      <a:xfrm>
                        <a:off x="2133600" y="3429000"/>
                        <a:ext cx="1219200" cy="457200"/>
                        <a:chOff x="2438400" y="2514600"/>
                        <a:chExt cx="609600" cy="914400"/>
                      </a:xfrm>
                    </a:grpSpPr>
                    <a:cxnSp>
                      <a:nvCxnSpPr>
                        <a:cNvPr id="153" name="Straight Connector 152"/>
                        <a:cNvCxnSpPr/>
                      </a:nvCxnSpPr>
                      <a:spPr>
                        <a:xfrm>
                          <a:off x="24384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4" name="Straight Connector 153"/>
                        <a:cNvCxnSpPr/>
                      </a:nvCxnSpPr>
                      <a:spPr>
                        <a:xfrm>
                          <a:off x="2514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5" name="Straight Connector 154"/>
                        <a:cNvCxnSpPr/>
                      </a:nvCxnSpPr>
                      <a:spPr>
                        <a:xfrm>
                          <a:off x="2590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6" name="Straight Connector 155"/>
                        <a:cNvCxnSpPr/>
                      </a:nvCxnSpPr>
                      <a:spPr>
                        <a:xfrm>
                          <a:off x="26670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7" name="Straight Connector 156"/>
                        <a:cNvCxnSpPr/>
                      </a:nvCxnSpPr>
                      <a:spPr>
                        <a:xfrm>
                          <a:off x="27432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8" name="Straight Connector 157"/>
                        <a:cNvCxnSpPr/>
                      </a:nvCxnSpPr>
                      <a:spPr>
                        <a:xfrm>
                          <a:off x="28194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9" name="Straight Connector 158"/>
                        <a:cNvCxnSpPr/>
                      </a:nvCxnSpPr>
                      <a:spPr>
                        <a:xfrm>
                          <a:off x="28956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0" name="Straight Connector 159"/>
                        <a:cNvCxnSpPr/>
                      </a:nvCxnSpPr>
                      <a:spPr>
                        <a:xfrm>
                          <a:off x="2971800" y="2514600"/>
                          <a:ext cx="0" cy="9144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1" name="Straight Connector 160"/>
                        <a:cNvCxnSpPr/>
                      </a:nvCxnSpPr>
                      <a:spPr>
                        <a:xfrm>
                          <a:off x="3048000" y="2514600"/>
                          <a:ext cx="0" cy="91440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2" name="Straight Connector 161"/>
                        <a:cNvCxnSpPr/>
                      </a:nvCxnSpPr>
                      <a:spPr>
                        <a:xfrm>
                          <a:off x="2438400" y="25146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3" name="Straight Connector 162"/>
                        <a:cNvCxnSpPr/>
                      </a:nvCxnSpPr>
                      <a:spPr>
                        <a:xfrm>
                          <a:off x="2438400" y="3429000"/>
                          <a:ext cx="609600" cy="0"/>
                        </a:xfrm>
                        <a:prstGeom prst="line">
                          <a:avLst/>
                        </a:prstGeom>
                        <a:ln w="2540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4" name="Straight Connector 163"/>
                        <a:cNvCxnSpPr/>
                      </a:nvCxnSpPr>
                      <a:spPr>
                        <a:xfrm>
                          <a:off x="2438400" y="3352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5" name="Straight Connector 164"/>
                        <a:cNvCxnSpPr/>
                      </a:nvCxnSpPr>
                      <a:spPr>
                        <a:xfrm>
                          <a:off x="2438400" y="3276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6" name="Straight Connector 165"/>
                        <a:cNvCxnSpPr/>
                      </a:nvCxnSpPr>
                      <a:spPr>
                        <a:xfrm>
                          <a:off x="2438400" y="3200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7" name="Straight Connector 166"/>
                        <a:cNvCxnSpPr/>
                      </a:nvCxnSpPr>
                      <a:spPr>
                        <a:xfrm>
                          <a:off x="2438400" y="3124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8" name="Straight Connector 167"/>
                        <a:cNvCxnSpPr/>
                      </a:nvCxnSpPr>
                      <a:spPr>
                        <a:xfrm>
                          <a:off x="2438400" y="3048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2438400" y="2971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0" name="Straight Connector 169"/>
                        <a:cNvCxnSpPr/>
                      </a:nvCxnSpPr>
                      <a:spPr>
                        <a:xfrm>
                          <a:off x="2438400" y="28956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1" name="Straight Connector 170"/>
                        <a:cNvCxnSpPr/>
                      </a:nvCxnSpPr>
                      <a:spPr>
                        <a:xfrm>
                          <a:off x="2438400" y="28194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2" name="Straight Connector 171"/>
                        <a:cNvCxnSpPr/>
                      </a:nvCxnSpPr>
                      <a:spPr>
                        <a:xfrm>
                          <a:off x="2438400" y="27432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3" name="Straight Connector 172"/>
                        <a:cNvCxnSpPr/>
                      </a:nvCxnSpPr>
                      <a:spPr>
                        <a:xfrm>
                          <a:off x="2438400" y="26670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4" name="Straight Connector 173"/>
                        <a:cNvCxnSpPr/>
                      </a:nvCxnSpPr>
                      <a:spPr>
                        <a:xfrm>
                          <a:off x="2438400" y="2590800"/>
                          <a:ext cx="60960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a:cxnSp>
                    <a:nvCxnSpPr>
                      <a:cNvPr id="176" name="Straight Arrow Connector 175"/>
                      <a:cNvCxnSpPr/>
                    </a:nvCxnSpPr>
                    <a:spPr>
                      <a:xfrm>
                        <a:off x="1540030" y="4572000"/>
                        <a:ext cx="457200"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77" name="Straight Arrow Connector 176"/>
                      <a:cNvCxnSpPr/>
                    </a:nvCxnSpPr>
                    <a:spPr>
                      <a:xfrm flipV="1">
                        <a:off x="1540030" y="3962400"/>
                        <a:ext cx="0" cy="6096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79" name="TextBox 178"/>
                      <a:cNvSpPr txBox="1"/>
                    </a:nvSpPr>
                    <a:spPr>
                      <a:xfrm>
                        <a:off x="1964220" y="4495800"/>
                        <a:ext cx="2455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t</a:t>
                          </a:r>
                          <a:endParaRPr lang="en-GB" sz="1400" dirty="0"/>
                        </a:p>
                      </a:txBody>
                      <a:useSpRect/>
                    </a:txSp>
                  </a:sp>
                  <a:sp>
                    <a:nvSpPr>
                      <a:cNvPr id="180" name="TextBox 179"/>
                      <a:cNvSpPr txBox="1"/>
                    </a:nvSpPr>
                    <a:spPr>
                      <a:xfrm>
                        <a:off x="1311430" y="3810000"/>
                        <a:ext cx="2391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f</a:t>
                          </a:r>
                          <a:endParaRPr lang="en-GB" sz="1400" dirty="0"/>
                        </a:p>
                      </a:txBody>
                      <a:useSpRect/>
                    </a:txSp>
                  </a:sp>
                  <a:sp>
                    <a:nvSpPr>
                      <a:cNvPr id="181" name="TextBox 180"/>
                      <a:cNvSpPr txBox="1"/>
                    </a:nvSpPr>
                    <a:spPr>
                      <a:xfrm>
                        <a:off x="2452106" y="3502223"/>
                        <a:ext cx="519694" cy="307777"/>
                      </a:xfrm>
                      <a:prstGeom prst="rect">
                        <a:avLst/>
                      </a:prstGeom>
                      <a:solidFill>
                        <a:schemeClr val="bg1">
                          <a:alpha val="62000"/>
                        </a:schemeClr>
                      </a:solid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M=1</a:t>
                          </a:r>
                          <a:endParaRPr lang="en-GB" sz="1400" dirty="0"/>
                        </a:p>
                      </a:txBody>
                      <a:useSpRect/>
                    </a:txSp>
                  </a:sp>
                  <a:sp>
                    <a:nvSpPr>
                      <a:cNvPr id="182" name="TextBox 181"/>
                      <a:cNvSpPr txBox="1"/>
                    </a:nvSpPr>
                    <a:spPr>
                      <a:xfrm>
                        <a:off x="2819400" y="2584846"/>
                        <a:ext cx="519694" cy="307777"/>
                      </a:xfrm>
                      <a:prstGeom prst="rect">
                        <a:avLst/>
                      </a:prstGeom>
                      <a:solidFill>
                        <a:schemeClr val="bg1">
                          <a:alpha val="62000"/>
                        </a:schemeClr>
                      </a:solid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M=2</a:t>
                          </a:r>
                          <a:endParaRPr lang="en-GB" sz="1400" dirty="0"/>
                        </a:p>
                      </a:txBody>
                      <a:useSpRect/>
                    </a:txSp>
                  </a:sp>
                  <a:sp>
                    <a:nvSpPr>
                      <a:cNvPr id="183" name="TextBox 182"/>
                      <a:cNvSpPr txBox="1"/>
                    </a:nvSpPr>
                    <a:spPr>
                      <a:xfrm>
                        <a:off x="2223506" y="2587823"/>
                        <a:ext cx="519694" cy="307777"/>
                      </a:xfrm>
                      <a:prstGeom prst="rect">
                        <a:avLst/>
                      </a:prstGeom>
                      <a:solidFill>
                        <a:schemeClr val="bg1">
                          <a:alpha val="62000"/>
                        </a:schemeClr>
                      </a:solid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M=4</a:t>
                          </a:r>
                          <a:endParaRPr lang="en-GB" sz="1400" dirty="0"/>
                        </a:p>
                      </a:txBody>
                      <a:useSpRect/>
                    </a:txSp>
                  </a:sp>
                  <a:sp>
                    <a:nvSpPr>
                      <a:cNvPr id="237" name="Right Brace 236"/>
                      <a:cNvSpPr/>
                    </a:nvSpPr>
                    <a:spPr>
                      <a:xfrm>
                        <a:off x="3657600" y="1600200"/>
                        <a:ext cx="228600" cy="9144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38" name="Right Brace 237"/>
                      <a:cNvSpPr/>
                    </a:nvSpPr>
                    <a:spPr>
                      <a:xfrm>
                        <a:off x="3657600" y="3886200"/>
                        <a:ext cx="228600" cy="457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39" name="Right Brace 238"/>
                      <a:cNvSpPr/>
                    </a:nvSpPr>
                    <a:spPr>
                      <a:xfrm flipH="1">
                        <a:off x="1524000" y="1600200"/>
                        <a:ext cx="304800" cy="18288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40" name="TextBox 239"/>
                      <a:cNvSpPr txBox="1"/>
                    </a:nvSpPr>
                    <a:spPr>
                      <a:xfrm>
                        <a:off x="3859946" y="3897868"/>
                        <a:ext cx="1284326"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dirty="0" smtClean="0"/>
                            <a:t>f</a:t>
                          </a:r>
                          <a:r>
                            <a:rPr lang="sv-SE" sz="1600" baseline="-25000" dirty="0" smtClean="0"/>
                            <a:t>RB_1</a:t>
                          </a:r>
                          <a:r>
                            <a:rPr lang="sv-SE" sz="1600" dirty="0" smtClean="0"/>
                            <a:t>=N</a:t>
                          </a:r>
                          <a:r>
                            <a:rPr lang="sv-SE" sz="1600" baseline="30000" dirty="0" smtClean="0"/>
                            <a:t>sc</a:t>
                          </a:r>
                          <a:r>
                            <a:rPr lang="sv-SE" sz="1600" baseline="-25000" dirty="0" smtClean="0"/>
                            <a:t>RB</a:t>
                          </a:r>
                          <a:r>
                            <a:rPr lang="sv-SE" sz="1600" dirty="0" smtClean="0">
                              <a:latin typeface="Cambria Math"/>
                              <a:ea typeface="Cambria Math"/>
                            </a:rPr>
                            <a:t>∆f</a:t>
                          </a:r>
                          <a:r>
                            <a:rPr lang="sv-SE" sz="1600" baseline="-25000" dirty="0" smtClean="0">
                              <a:latin typeface="Cambria Math"/>
                              <a:ea typeface="Cambria Math"/>
                            </a:rPr>
                            <a:t>1</a:t>
                          </a:r>
                          <a:endParaRPr lang="en-GB" sz="1600" baseline="-25000" dirty="0"/>
                        </a:p>
                      </a:txBody>
                      <a:useSpRect/>
                    </a:txSp>
                  </a:sp>
                  <a:sp>
                    <a:nvSpPr>
                      <a:cNvPr id="241" name="TextBox 240"/>
                      <a:cNvSpPr txBox="1"/>
                    </a:nvSpPr>
                    <a:spPr>
                      <a:xfrm>
                        <a:off x="3886200" y="1840468"/>
                        <a:ext cx="1284326"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dirty="0" smtClean="0"/>
                            <a:t>f</a:t>
                          </a:r>
                          <a:r>
                            <a:rPr lang="sv-SE" sz="1600" baseline="-25000" dirty="0" smtClean="0"/>
                            <a:t>RB_2</a:t>
                          </a:r>
                          <a:r>
                            <a:rPr lang="sv-SE" sz="1600" dirty="0" smtClean="0"/>
                            <a:t>=N</a:t>
                          </a:r>
                          <a:r>
                            <a:rPr lang="sv-SE" sz="1600" baseline="30000" dirty="0" smtClean="0"/>
                            <a:t>sc</a:t>
                          </a:r>
                          <a:r>
                            <a:rPr lang="sv-SE" sz="1600" baseline="-25000" dirty="0" smtClean="0"/>
                            <a:t>RB</a:t>
                          </a:r>
                          <a:r>
                            <a:rPr lang="sv-SE" sz="1600" dirty="0" smtClean="0">
                              <a:latin typeface="Cambria Math"/>
                              <a:ea typeface="Cambria Math"/>
                            </a:rPr>
                            <a:t>∆f</a:t>
                          </a:r>
                          <a:r>
                            <a:rPr lang="sv-SE" sz="1600" baseline="-25000" dirty="0" smtClean="0">
                              <a:latin typeface="Cambria Math"/>
                              <a:ea typeface="Cambria Math"/>
                            </a:rPr>
                            <a:t>2</a:t>
                          </a:r>
                          <a:endParaRPr lang="en-GB" sz="1600" baseline="-25000" dirty="0"/>
                        </a:p>
                      </a:txBody>
                      <a:useSpRect/>
                    </a:txSp>
                  </a:sp>
                  <a:sp>
                    <a:nvSpPr>
                      <a:cNvPr id="242" name="TextBox 241"/>
                      <a:cNvSpPr txBox="1"/>
                    </a:nvSpPr>
                    <a:spPr>
                      <a:xfrm>
                        <a:off x="228600" y="2297668"/>
                        <a:ext cx="1284326"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dirty="0" smtClean="0"/>
                            <a:t>f</a:t>
                          </a:r>
                          <a:r>
                            <a:rPr lang="sv-SE" sz="1600" baseline="-25000" dirty="0" smtClean="0"/>
                            <a:t>RB_4</a:t>
                          </a:r>
                          <a:r>
                            <a:rPr lang="sv-SE" sz="1600" dirty="0" smtClean="0"/>
                            <a:t>=N</a:t>
                          </a:r>
                          <a:r>
                            <a:rPr lang="sv-SE" sz="1600" baseline="30000" dirty="0" smtClean="0"/>
                            <a:t>sc</a:t>
                          </a:r>
                          <a:r>
                            <a:rPr lang="sv-SE" sz="1600" baseline="-25000" dirty="0" smtClean="0"/>
                            <a:t>RB</a:t>
                          </a:r>
                          <a:r>
                            <a:rPr lang="sv-SE" sz="1600" dirty="0" smtClean="0">
                              <a:latin typeface="Cambria Math"/>
                              <a:ea typeface="Cambria Math"/>
                            </a:rPr>
                            <a:t>∆f</a:t>
                          </a:r>
                          <a:r>
                            <a:rPr lang="sv-SE" sz="1600" baseline="-25000" dirty="0" smtClean="0">
                              <a:latin typeface="Cambria Math"/>
                              <a:ea typeface="Cambria Math"/>
                            </a:rPr>
                            <a:t>4</a:t>
                          </a:r>
                          <a:endParaRPr lang="en-GB" sz="1600" baseline="-25000" dirty="0"/>
                        </a:p>
                      </a:txBody>
                      <a:useSpRect/>
                    </a:txSp>
                  </a:sp>
                  <a:sp>
                    <a:nvSpPr>
                      <a:cNvPr id="244" name="Right Brace 243"/>
                      <a:cNvSpPr/>
                    </a:nvSpPr>
                    <a:spPr>
                      <a:xfrm>
                        <a:off x="3657600" y="3276600"/>
                        <a:ext cx="228600" cy="2286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45" name="TextBox 244"/>
                      <a:cNvSpPr txBox="1"/>
                    </a:nvSpPr>
                    <a:spPr>
                      <a:xfrm>
                        <a:off x="3886200" y="3200400"/>
                        <a:ext cx="166257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dirty="0" smtClean="0"/>
                            <a:t>Guard subcarriers</a:t>
                          </a:r>
                          <a:endParaRPr lang="en-GB" sz="1600" baseline="-25000" dirty="0"/>
                        </a:p>
                      </a:txBody>
                      <a:useSpRect/>
                    </a:txSp>
                  </a:sp>
                </lc:lockedCanvas>
              </a:graphicData>
            </a:graphic>
          </wp:inline>
        </w:drawing>
      </w:r>
    </w:p>
    <w:p w:rsidR="00886503" w:rsidRDefault="00886503" w:rsidP="00886503">
      <w:pPr>
        <w:pStyle w:val="Caption"/>
      </w:pPr>
      <w:bookmarkStart w:id="4" w:name="_Ref450574589"/>
      <w:r>
        <w:t xml:space="preserve">Figure </w:t>
      </w:r>
      <w:fldSimple w:instr=" SEQ Figure \* ARABIC ">
        <w:r w:rsidR="00F610CA">
          <w:rPr>
            <w:noProof/>
          </w:rPr>
          <w:t>1</w:t>
        </w:r>
      </w:fldSimple>
      <w:bookmarkEnd w:id="4"/>
      <w:r>
        <w:t xml:space="preserve"> – Three numerologies in the same family (scaling M=1, M=2 and M=4) are time and frequency multiplexed.</w:t>
      </w:r>
      <w:r w:rsidR="005A0289">
        <w:t xml:space="preserve"> Scaling with M results in M times shorter (in time) and M times wider (in frequency) RBs.</w:t>
      </w:r>
      <w:r w:rsidR="00784191">
        <w:t xml:space="preserve"> A guard-band between adjacent numerologies is typically needed</w:t>
      </w:r>
      <w:r w:rsidR="00C81BB1">
        <w:t>, due to INI</w:t>
      </w:r>
      <w:r w:rsidR="00784191">
        <w:t xml:space="preserve">. </w:t>
      </w:r>
    </w:p>
    <w:p w:rsidR="007B546D" w:rsidRDefault="00C516B7" w:rsidP="00921D45">
      <w:pPr>
        <w:adjustRightInd/>
        <w:snapToGrid w:val="0"/>
        <w:spacing w:afterLines="50" w:line="276" w:lineRule="auto"/>
        <w:jc w:val="both"/>
        <w:rPr>
          <w:szCs w:val="20"/>
        </w:rPr>
      </w:pPr>
      <w:r>
        <w:rPr>
          <w:szCs w:val="20"/>
        </w:rPr>
        <w:t>Assuming an RB structure as in LTE, the carrier bandwidth is divided into N</w:t>
      </w:r>
      <w:r w:rsidRPr="00C516B7">
        <w:rPr>
          <w:szCs w:val="20"/>
          <w:vertAlign w:val="subscript"/>
        </w:rPr>
        <w:t>RB</w:t>
      </w:r>
      <w:r w:rsidR="009402E9">
        <w:rPr>
          <w:szCs w:val="20"/>
          <w:vertAlign w:val="subscript"/>
        </w:rPr>
        <w:t>_</w:t>
      </w:r>
      <w:r w:rsidR="00D93AC6">
        <w:rPr>
          <w:szCs w:val="20"/>
          <w:vertAlign w:val="subscript"/>
        </w:rPr>
        <w:t>M</w:t>
      </w:r>
      <w:r>
        <w:rPr>
          <w:szCs w:val="20"/>
        </w:rPr>
        <w:t xml:space="preserve"> RBs.</w:t>
      </w:r>
      <w:r w:rsidR="00D93AC6">
        <w:rPr>
          <w:szCs w:val="20"/>
        </w:rPr>
        <w:t xml:space="preserve"> Following the principle illustrated in </w:t>
      </w:r>
      <w:r w:rsidR="0022597F">
        <w:rPr>
          <w:szCs w:val="20"/>
        </w:rPr>
        <w:fldChar w:fldCharType="begin"/>
      </w:r>
      <w:r w:rsidR="00D93AC6">
        <w:rPr>
          <w:szCs w:val="20"/>
        </w:rPr>
        <w:instrText xml:space="preserve"> REF _Ref450574589 \h </w:instrText>
      </w:r>
      <w:r w:rsidR="0022597F">
        <w:rPr>
          <w:szCs w:val="20"/>
        </w:rPr>
      </w:r>
      <w:r w:rsidR="0022597F">
        <w:rPr>
          <w:szCs w:val="20"/>
        </w:rPr>
        <w:fldChar w:fldCharType="separate"/>
      </w:r>
      <w:r w:rsidR="00F610CA">
        <w:t xml:space="preserve">Figure </w:t>
      </w:r>
      <w:r w:rsidR="00F610CA">
        <w:rPr>
          <w:noProof/>
        </w:rPr>
        <w:t>1</w:t>
      </w:r>
      <w:r w:rsidR="0022597F">
        <w:rPr>
          <w:szCs w:val="20"/>
        </w:rPr>
        <w:fldChar w:fldCharType="end"/>
      </w:r>
      <w:r w:rsidR="00D93AC6">
        <w:rPr>
          <w:szCs w:val="20"/>
        </w:rPr>
        <w:t>, there are N</w:t>
      </w:r>
      <w:r w:rsidR="00D93AC6" w:rsidRPr="00C516B7">
        <w:rPr>
          <w:szCs w:val="20"/>
          <w:vertAlign w:val="subscript"/>
        </w:rPr>
        <w:t>RB</w:t>
      </w:r>
      <w:r w:rsidR="009402E9">
        <w:rPr>
          <w:szCs w:val="20"/>
          <w:vertAlign w:val="subscript"/>
        </w:rPr>
        <w:t>_</w:t>
      </w:r>
      <w:r w:rsidR="00D93AC6">
        <w:rPr>
          <w:szCs w:val="20"/>
          <w:vertAlign w:val="subscript"/>
        </w:rPr>
        <w:t>1</w:t>
      </w:r>
      <w:r w:rsidR="00D93AC6">
        <w:rPr>
          <w:szCs w:val="20"/>
        </w:rPr>
        <w:t xml:space="preserve"> RBs for scheduling numerology M=1, N</w:t>
      </w:r>
      <w:r w:rsidR="00D93AC6" w:rsidRPr="00C516B7">
        <w:rPr>
          <w:szCs w:val="20"/>
          <w:vertAlign w:val="subscript"/>
        </w:rPr>
        <w:t>RB</w:t>
      </w:r>
      <w:r w:rsidR="009402E9">
        <w:rPr>
          <w:szCs w:val="20"/>
          <w:vertAlign w:val="subscript"/>
        </w:rPr>
        <w:t>_</w:t>
      </w:r>
      <w:r w:rsidR="00D93AC6">
        <w:rPr>
          <w:szCs w:val="20"/>
          <w:vertAlign w:val="subscript"/>
        </w:rPr>
        <w:t>2</w:t>
      </w:r>
      <w:r w:rsidR="00D93AC6">
        <w:rPr>
          <w:szCs w:val="20"/>
        </w:rPr>
        <w:t xml:space="preserve"> RBs for scheduling numerology M=</w:t>
      </w:r>
      <w:r w:rsidR="009628AF">
        <w:rPr>
          <w:szCs w:val="20"/>
        </w:rPr>
        <w:t>2</w:t>
      </w:r>
      <w:r w:rsidR="00D93AC6">
        <w:rPr>
          <w:szCs w:val="20"/>
        </w:rPr>
        <w:t xml:space="preserve"> and N</w:t>
      </w:r>
      <w:r w:rsidR="00D93AC6" w:rsidRPr="00C516B7">
        <w:rPr>
          <w:szCs w:val="20"/>
          <w:vertAlign w:val="subscript"/>
        </w:rPr>
        <w:t>RB</w:t>
      </w:r>
      <w:r w:rsidR="009402E9">
        <w:rPr>
          <w:szCs w:val="20"/>
          <w:vertAlign w:val="subscript"/>
        </w:rPr>
        <w:t>_</w:t>
      </w:r>
      <w:r w:rsidR="00D93AC6">
        <w:rPr>
          <w:szCs w:val="20"/>
          <w:vertAlign w:val="subscript"/>
        </w:rPr>
        <w:t>4</w:t>
      </w:r>
      <w:r w:rsidR="00D93AC6">
        <w:rPr>
          <w:szCs w:val="20"/>
        </w:rPr>
        <w:t xml:space="preserve"> RBs for scheduling numerology M=</w:t>
      </w:r>
      <w:r w:rsidR="009628AF">
        <w:rPr>
          <w:szCs w:val="20"/>
        </w:rPr>
        <w:t>4</w:t>
      </w:r>
      <w:r w:rsidR="00B87640">
        <w:rPr>
          <w:szCs w:val="20"/>
        </w:rPr>
        <w:t>, with N</w:t>
      </w:r>
      <w:r w:rsidR="00B87640" w:rsidRPr="00C516B7">
        <w:rPr>
          <w:szCs w:val="20"/>
          <w:vertAlign w:val="subscript"/>
        </w:rPr>
        <w:t>RB</w:t>
      </w:r>
      <w:r w:rsidR="009402E9">
        <w:rPr>
          <w:szCs w:val="20"/>
          <w:vertAlign w:val="subscript"/>
        </w:rPr>
        <w:t>_</w:t>
      </w:r>
      <w:r w:rsidR="00B87640">
        <w:rPr>
          <w:szCs w:val="20"/>
          <w:vertAlign w:val="subscript"/>
        </w:rPr>
        <w:t>1</w:t>
      </w:r>
      <w:r w:rsidR="00B87640">
        <w:rPr>
          <w:szCs w:val="20"/>
        </w:rPr>
        <w:t xml:space="preserve"> =2*</w:t>
      </w:r>
      <w:r w:rsidR="00B87640" w:rsidRPr="00B87640">
        <w:rPr>
          <w:szCs w:val="20"/>
        </w:rPr>
        <w:t xml:space="preserve"> </w:t>
      </w:r>
      <w:r w:rsidR="00B87640">
        <w:rPr>
          <w:szCs w:val="20"/>
        </w:rPr>
        <w:t>N</w:t>
      </w:r>
      <w:r w:rsidR="00B87640" w:rsidRPr="00C516B7">
        <w:rPr>
          <w:szCs w:val="20"/>
          <w:vertAlign w:val="subscript"/>
        </w:rPr>
        <w:t>RB</w:t>
      </w:r>
      <w:r w:rsidR="009402E9">
        <w:rPr>
          <w:szCs w:val="20"/>
          <w:vertAlign w:val="subscript"/>
        </w:rPr>
        <w:t>_</w:t>
      </w:r>
      <w:r w:rsidR="00B87640">
        <w:rPr>
          <w:szCs w:val="20"/>
          <w:vertAlign w:val="subscript"/>
        </w:rPr>
        <w:t>2</w:t>
      </w:r>
      <w:r w:rsidR="00B87640">
        <w:rPr>
          <w:szCs w:val="20"/>
        </w:rPr>
        <w:t xml:space="preserve"> = 4*</w:t>
      </w:r>
      <w:r w:rsidR="00B87640" w:rsidRPr="00B87640">
        <w:rPr>
          <w:szCs w:val="20"/>
        </w:rPr>
        <w:t xml:space="preserve"> </w:t>
      </w:r>
      <w:r w:rsidR="00B87640">
        <w:rPr>
          <w:szCs w:val="20"/>
        </w:rPr>
        <w:t>N</w:t>
      </w:r>
      <w:r w:rsidR="00B87640" w:rsidRPr="00C516B7">
        <w:rPr>
          <w:szCs w:val="20"/>
          <w:vertAlign w:val="subscript"/>
        </w:rPr>
        <w:t>RB</w:t>
      </w:r>
      <w:r w:rsidR="009402E9">
        <w:rPr>
          <w:szCs w:val="20"/>
          <w:vertAlign w:val="subscript"/>
        </w:rPr>
        <w:t>_</w:t>
      </w:r>
      <w:r w:rsidR="00B87640">
        <w:rPr>
          <w:szCs w:val="20"/>
          <w:vertAlign w:val="subscript"/>
        </w:rPr>
        <w:t>4</w:t>
      </w:r>
      <w:r w:rsidR="00B87640">
        <w:rPr>
          <w:szCs w:val="20"/>
        </w:rPr>
        <w:t>.</w:t>
      </w:r>
      <w:r w:rsidR="003F546E">
        <w:rPr>
          <w:szCs w:val="20"/>
        </w:rPr>
        <w:t xml:space="preserve"> Since there are fewer RBs for higher M, the </w:t>
      </w:r>
      <w:r w:rsidR="006C2467">
        <w:rPr>
          <w:szCs w:val="20"/>
        </w:rPr>
        <w:t xml:space="preserve">scheduling granularity </w:t>
      </w:r>
      <w:r w:rsidR="00B87640">
        <w:rPr>
          <w:szCs w:val="20"/>
        </w:rPr>
        <w:t>is</w:t>
      </w:r>
      <w:r w:rsidR="006C2467">
        <w:rPr>
          <w:szCs w:val="20"/>
        </w:rPr>
        <w:t xml:space="preserve"> coarse</w:t>
      </w:r>
      <w:r w:rsidR="003F546E">
        <w:rPr>
          <w:szCs w:val="20"/>
        </w:rPr>
        <w:t>r for</w:t>
      </w:r>
      <w:r w:rsidR="006C2467">
        <w:rPr>
          <w:szCs w:val="20"/>
        </w:rPr>
        <w:t xml:space="preserve"> </w:t>
      </w:r>
      <w:r w:rsidR="003F546E">
        <w:rPr>
          <w:szCs w:val="20"/>
        </w:rPr>
        <w:t>higher M (wider RBs) than for lower M (narrower RBs)</w:t>
      </w:r>
      <w:r w:rsidR="006C2467">
        <w:rPr>
          <w:szCs w:val="20"/>
        </w:rPr>
        <w:t xml:space="preserve">. </w:t>
      </w:r>
      <w:r w:rsidR="007B546D">
        <w:rPr>
          <w:szCs w:val="20"/>
        </w:rPr>
        <w:t xml:space="preserve">This is illustrated in </w:t>
      </w:r>
      <w:r w:rsidR="0022597F">
        <w:rPr>
          <w:szCs w:val="20"/>
        </w:rPr>
        <w:fldChar w:fldCharType="begin"/>
      </w:r>
      <w:r w:rsidR="00AB4EFA">
        <w:rPr>
          <w:szCs w:val="20"/>
        </w:rPr>
        <w:instrText xml:space="preserve"> REF _Ref450577914 \h </w:instrText>
      </w:r>
      <w:r w:rsidR="0022597F">
        <w:rPr>
          <w:szCs w:val="20"/>
        </w:rPr>
      </w:r>
      <w:r w:rsidR="0022597F">
        <w:rPr>
          <w:szCs w:val="20"/>
        </w:rPr>
        <w:fldChar w:fldCharType="separate"/>
      </w:r>
      <w:r w:rsidR="00F610CA">
        <w:t xml:space="preserve">Figure </w:t>
      </w:r>
      <w:r w:rsidR="00F610CA">
        <w:rPr>
          <w:noProof/>
        </w:rPr>
        <w:t>2</w:t>
      </w:r>
      <w:r w:rsidR="0022597F">
        <w:rPr>
          <w:szCs w:val="20"/>
        </w:rPr>
        <w:fldChar w:fldCharType="end"/>
      </w:r>
      <w:r w:rsidR="00AB4EFA">
        <w:rPr>
          <w:szCs w:val="20"/>
        </w:rPr>
        <w:t>, where N</w:t>
      </w:r>
      <w:r w:rsidR="00AB4EFA" w:rsidRPr="00AB4EFA">
        <w:rPr>
          <w:szCs w:val="20"/>
          <w:vertAlign w:val="subscript"/>
        </w:rPr>
        <w:t>RB</w:t>
      </w:r>
      <w:r w:rsidR="009402E9">
        <w:rPr>
          <w:szCs w:val="20"/>
          <w:vertAlign w:val="subscript"/>
        </w:rPr>
        <w:t>_</w:t>
      </w:r>
      <w:r w:rsidR="00AB4EFA" w:rsidRPr="00AB4EFA">
        <w:rPr>
          <w:szCs w:val="20"/>
          <w:vertAlign w:val="subscript"/>
        </w:rPr>
        <w:t>1</w:t>
      </w:r>
      <w:r w:rsidR="00AB4EFA">
        <w:rPr>
          <w:szCs w:val="20"/>
        </w:rPr>
        <w:t>=2*</w:t>
      </w:r>
      <w:r w:rsidR="00AB4EFA" w:rsidRPr="00AB4EFA">
        <w:rPr>
          <w:szCs w:val="20"/>
        </w:rPr>
        <w:t xml:space="preserve"> </w:t>
      </w:r>
      <w:r w:rsidR="00AB4EFA">
        <w:rPr>
          <w:szCs w:val="20"/>
        </w:rPr>
        <w:t>N</w:t>
      </w:r>
      <w:r w:rsidR="00AB4EFA">
        <w:rPr>
          <w:szCs w:val="20"/>
          <w:vertAlign w:val="subscript"/>
        </w:rPr>
        <w:t>RB</w:t>
      </w:r>
      <w:r w:rsidR="009402E9">
        <w:rPr>
          <w:szCs w:val="20"/>
          <w:vertAlign w:val="subscript"/>
        </w:rPr>
        <w:t>_</w:t>
      </w:r>
      <w:r w:rsidR="00AB4EFA">
        <w:rPr>
          <w:szCs w:val="20"/>
          <w:vertAlign w:val="subscript"/>
        </w:rPr>
        <w:t>2</w:t>
      </w:r>
      <w:r w:rsidR="00AB4EFA">
        <w:rPr>
          <w:szCs w:val="20"/>
        </w:rPr>
        <w:t>=4*</w:t>
      </w:r>
      <w:r w:rsidR="00AB4EFA" w:rsidRPr="00AB4EFA">
        <w:rPr>
          <w:szCs w:val="20"/>
        </w:rPr>
        <w:t xml:space="preserve"> </w:t>
      </w:r>
      <w:r w:rsidR="00AB4EFA">
        <w:rPr>
          <w:szCs w:val="20"/>
        </w:rPr>
        <w:t>N</w:t>
      </w:r>
      <w:r w:rsidR="00AB4EFA">
        <w:rPr>
          <w:szCs w:val="20"/>
          <w:vertAlign w:val="subscript"/>
        </w:rPr>
        <w:t>RB</w:t>
      </w:r>
      <w:r w:rsidR="009402E9">
        <w:rPr>
          <w:szCs w:val="20"/>
          <w:vertAlign w:val="subscript"/>
        </w:rPr>
        <w:t>_</w:t>
      </w:r>
      <w:r w:rsidR="00AB4EFA">
        <w:rPr>
          <w:szCs w:val="20"/>
          <w:vertAlign w:val="subscript"/>
        </w:rPr>
        <w:t>4</w:t>
      </w:r>
      <w:r w:rsidR="00AB4EFA">
        <w:rPr>
          <w:szCs w:val="20"/>
        </w:rPr>
        <w:t>.</w:t>
      </w:r>
    </w:p>
    <w:p w:rsidR="007B546D" w:rsidRDefault="0029127B" w:rsidP="00921D45">
      <w:pPr>
        <w:adjustRightInd/>
        <w:snapToGrid w:val="0"/>
        <w:spacing w:afterLines="50" w:line="276" w:lineRule="auto"/>
        <w:jc w:val="center"/>
        <w:rPr>
          <w:szCs w:val="20"/>
        </w:rPr>
      </w:pPr>
      <w:r w:rsidRPr="0029127B">
        <w:rPr>
          <w:noProof/>
          <w:szCs w:val="20"/>
          <w:lang w:val="en-GB" w:eastAsia="en-GB"/>
        </w:rPr>
        <w:drawing>
          <wp:inline distT="0" distB="0" distL="0" distR="0">
            <wp:extent cx="3784821" cy="3673503"/>
            <wp:effectExtent l="0" t="0" r="0" b="0"/>
            <wp:docPr id="19" name="Object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341475" cy="6619220"/>
                      <a:chOff x="135525" y="304800"/>
                      <a:chExt cx="6341475" cy="6619220"/>
                    </a:xfrm>
                  </a:grpSpPr>
                  <a:sp>
                    <a:nvSpPr>
                      <a:cNvPr id="184" name="Rectangle 183"/>
                      <a:cNvSpPr/>
                    </a:nvSpPr>
                    <a:spPr>
                      <a:xfrm>
                        <a:off x="5715000" y="304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5715000" y="21336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TextBox 185"/>
                      <a:cNvSpPr txBox="1"/>
                    </a:nvSpPr>
                    <a:spPr>
                      <a:xfrm rot="16200000">
                        <a:off x="5585684" y="3986663"/>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dirty="0" smtClean="0"/>
                            <a:t>...</a:t>
                          </a:r>
                          <a:endParaRPr lang="en-GB" sz="2400" dirty="0"/>
                        </a:p>
                      </a:txBody>
                      <a:useSpRect/>
                    </a:txSp>
                  </a:sp>
                  <a:sp>
                    <a:nvSpPr>
                      <a:cNvPr id="187" name="Rectangle 186"/>
                      <a:cNvSpPr/>
                    </a:nvSpPr>
                    <a:spPr>
                      <a:xfrm>
                        <a:off x="5715000" y="4495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TextBox 188"/>
                      <a:cNvSpPr txBox="1"/>
                    </a:nvSpPr>
                    <a:spPr>
                      <a:xfrm>
                        <a:off x="5562600" y="6397823"/>
                        <a:ext cx="519694"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dirty="0" smtClean="0"/>
                            <a:t>(c) </a:t>
                          </a:r>
                        </a:p>
                        <a:p>
                          <a:pPr algn="ctr"/>
                          <a:r>
                            <a:rPr lang="sv-SE" sz="1400" dirty="0" smtClean="0"/>
                            <a:t>M=4</a:t>
                          </a:r>
                          <a:endParaRPr lang="en-GB" sz="1400" dirty="0"/>
                        </a:p>
                      </a:txBody>
                      <a:useSpRect/>
                    </a:txSp>
                  </a:sp>
                  <a:sp>
                    <a:nvSpPr>
                      <a:cNvPr id="194" name="TextBox 193"/>
                      <a:cNvSpPr txBox="1"/>
                    </a:nvSpPr>
                    <a:spPr>
                      <a:xfrm>
                        <a:off x="6061502" y="2514600"/>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dirty="0" smtClean="0"/>
                            <a:t>...</a:t>
                          </a:r>
                          <a:endParaRPr lang="en-GB" sz="2400" dirty="0"/>
                        </a:p>
                      </a:txBody>
                      <a:useSpRect/>
                    </a:txSp>
                  </a:sp>
                  <a:sp>
                    <a:nvSpPr>
                      <a:cNvPr id="195" name="Rectangle 194"/>
                      <a:cNvSpPr/>
                    </a:nvSpPr>
                    <a:spPr>
                      <a:xfrm>
                        <a:off x="3657600" y="304800"/>
                        <a:ext cx="609600" cy="9144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Rectangle 196"/>
                      <a:cNvSpPr/>
                    </a:nvSpPr>
                    <a:spPr>
                      <a:xfrm>
                        <a:off x="3657600" y="1219200"/>
                        <a:ext cx="609600" cy="9144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3657600" y="2133600"/>
                        <a:ext cx="609600" cy="9144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3657600" y="3048000"/>
                        <a:ext cx="609600" cy="9144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Rectangle 202"/>
                      <a:cNvSpPr/>
                    </a:nvSpPr>
                    <a:spPr>
                      <a:xfrm>
                        <a:off x="3657600" y="4495800"/>
                        <a:ext cx="609600" cy="9144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Rectangle 204"/>
                      <a:cNvSpPr/>
                    </a:nvSpPr>
                    <a:spPr>
                      <a:xfrm>
                        <a:off x="3657600" y="5410200"/>
                        <a:ext cx="609600" cy="9144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TextBox 205"/>
                      <a:cNvSpPr txBox="1"/>
                    </a:nvSpPr>
                    <a:spPr>
                      <a:xfrm>
                        <a:off x="3657600" y="6397823"/>
                        <a:ext cx="519694"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dirty="0" smtClean="0"/>
                            <a:t>(b)</a:t>
                          </a:r>
                        </a:p>
                        <a:p>
                          <a:pPr algn="ctr"/>
                          <a:r>
                            <a:rPr lang="sv-SE" sz="1400" dirty="0" smtClean="0"/>
                            <a:t>M=2</a:t>
                          </a:r>
                          <a:endParaRPr lang="en-GB" sz="1400" dirty="0"/>
                        </a:p>
                      </a:txBody>
                      <a:useSpRect/>
                    </a:txSp>
                  </a:sp>
                  <a:sp>
                    <a:nvSpPr>
                      <a:cNvPr id="208" name="TextBox 207"/>
                      <a:cNvSpPr txBox="1"/>
                    </a:nvSpPr>
                    <a:spPr>
                      <a:xfrm>
                        <a:off x="4308902" y="2514600"/>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dirty="0" smtClean="0"/>
                            <a:t>...</a:t>
                          </a:r>
                          <a:endParaRPr lang="en-GB" sz="2400" dirty="0"/>
                        </a:p>
                      </a:txBody>
                      <a:useSpRect/>
                    </a:txSp>
                  </a:sp>
                  <a:sp>
                    <a:nvSpPr>
                      <a:cNvPr id="210" name="TextBox 209"/>
                      <a:cNvSpPr txBox="1"/>
                    </a:nvSpPr>
                    <a:spPr>
                      <a:xfrm rot="16200000">
                        <a:off x="3680684" y="3981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dirty="0" smtClean="0"/>
                            <a:t>...</a:t>
                          </a:r>
                          <a:endParaRPr lang="en-GB" sz="2400" dirty="0"/>
                        </a:p>
                      </a:txBody>
                      <a:useSpRect/>
                    </a:txSp>
                  </a:sp>
                  <a:sp>
                    <a:nvSpPr>
                      <a:cNvPr id="212" name="Rectangle 211"/>
                      <a:cNvSpPr/>
                    </a:nvSpPr>
                    <a:spPr>
                      <a:xfrm>
                        <a:off x="914400" y="3048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4" name="Rectangle 213"/>
                      <a:cNvSpPr/>
                    </a:nvSpPr>
                    <a:spPr>
                      <a:xfrm>
                        <a:off x="914400" y="7620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Rectangle 215"/>
                      <a:cNvSpPr/>
                    </a:nvSpPr>
                    <a:spPr>
                      <a:xfrm>
                        <a:off x="914400" y="12192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Rectangle 217"/>
                      <a:cNvSpPr/>
                    </a:nvSpPr>
                    <a:spPr>
                      <a:xfrm>
                        <a:off x="914400" y="16764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914400" y="21336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Rectangle 221"/>
                      <a:cNvSpPr/>
                    </a:nvSpPr>
                    <a:spPr>
                      <a:xfrm>
                        <a:off x="914400" y="25908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Rectangle 223"/>
                      <a:cNvSpPr/>
                    </a:nvSpPr>
                    <a:spPr>
                      <a:xfrm>
                        <a:off x="914400" y="30480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Rectangle 225"/>
                      <a:cNvSpPr/>
                    </a:nvSpPr>
                    <a:spPr>
                      <a:xfrm>
                        <a:off x="914400" y="35052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Rectangle 227"/>
                      <a:cNvSpPr/>
                    </a:nvSpPr>
                    <a:spPr>
                      <a:xfrm>
                        <a:off x="914400" y="44958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Rectangle 229"/>
                      <a:cNvSpPr/>
                    </a:nvSpPr>
                    <a:spPr>
                      <a:xfrm>
                        <a:off x="914400" y="49530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Rectangle 231"/>
                      <a:cNvSpPr/>
                    </a:nvSpPr>
                    <a:spPr>
                      <a:xfrm>
                        <a:off x="914400" y="54102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Rectangle 233"/>
                      <a:cNvSpPr/>
                    </a:nvSpPr>
                    <a:spPr>
                      <a:xfrm>
                        <a:off x="914400" y="5867400"/>
                        <a:ext cx="1219200" cy="4572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TextBox 234"/>
                      <a:cNvSpPr txBox="1"/>
                    </a:nvSpPr>
                    <a:spPr>
                      <a:xfrm rot="16200000">
                        <a:off x="1318484" y="3981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dirty="0" smtClean="0"/>
                            <a:t>...</a:t>
                          </a:r>
                          <a:endParaRPr lang="en-GB" sz="2400" dirty="0"/>
                        </a:p>
                      </a:txBody>
                      <a:useSpRect/>
                    </a:txSp>
                  </a:sp>
                  <a:sp>
                    <a:nvSpPr>
                      <a:cNvPr id="236" name="TextBox 235"/>
                      <a:cNvSpPr txBox="1"/>
                    </a:nvSpPr>
                    <a:spPr>
                      <a:xfrm>
                        <a:off x="1219200" y="6400800"/>
                        <a:ext cx="519694"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dirty="0" smtClean="0"/>
                            <a:t>(a)</a:t>
                          </a:r>
                        </a:p>
                        <a:p>
                          <a:pPr algn="ctr"/>
                          <a:r>
                            <a:rPr lang="sv-SE" sz="1400" dirty="0" smtClean="0"/>
                            <a:t>M=1</a:t>
                          </a:r>
                          <a:endParaRPr lang="en-GB" sz="1400" dirty="0"/>
                        </a:p>
                      </a:txBody>
                      <a:useSpRect/>
                    </a:txSp>
                  </a:sp>
                  <a:sp>
                    <a:nvSpPr>
                      <a:cNvPr id="237" name="TextBox 236"/>
                      <a:cNvSpPr txBox="1"/>
                    </a:nvSpPr>
                    <a:spPr>
                      <a:xfrm>
                        <a:off x="2209800" y="2514600"/>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dirty="0" smtClean="0"/>
                            <a:t>...</a:t>
                          </a:r>
                          <a:endParaRPr lang="en-GB" sz="2400" dirty="0"/>
                        </a:p>
                      </a:txBody>
                      <a:useSpRect/>
                    </a:txSp>
                  </a:sp>
                  <a:cxnSp>
                    <a:nvCxnSpPr>
                      <a:cNvPr id="240" name="Straight Arrow Connector 239"/>
                      <a:cNvCxnSpPr/>
                    </a:nvCxnSpPr>
                    <a:spPr>
                      <a:xfrm>
                        <a:off x="533400" y="304800"/>
                        <a:ext cx="0" cy="6019800"/>
                      </a:xfrm>
                      <a:prstGeom prst="straightConnector1">
                        <a:avLst/>
                      </a:prstGeom>
                      <a:ln w="25400">
                        <a:solidFill>
                          <a:schemeClr val="tx1"/>
                        </a:solidFill>
                        <a:headEnd type="arrow" w="lg" len="lg"/>
                        <a:tailEnd type="arrow" w="lg" len="lg"/>
                      </a:ln>
                    </a:spPr>
                    <a:style>
                      <a:lnRef idx="1">
                        <a:schemeClr val="accent1"/>
                      </a:lnRef>
                      <a:fillRef idx="0">
                        <a:schemeClr val="accent1"/>
                      </a:fillRef>
                      <a:effectRef idx="0">
                        <a:schemeClr val="accent1"/>
                      </a:effectRef>
                      <a:fontRef idx="minor">
                        <a:schemeClr val="tx1"/>
                      </a:fontRef>
                    </a:style>
                  </a:cxnSp>
                  <a:sp>
                    <a:nvSpPr>
                      <a:cNvPr id="241" name="TextBox 240"/>
                      <a:cNvSpPr txBox="1"/>
                    </a:nvSpPr>
                    <a:spPr>
                      <a:xfrm rot="16200000">
                        <a:off x="-171451" y="2880212"/>
                        <a:ext cx="952505"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dirty="0" smtClean="0"/>
                            <a:t>N</a:t>
                          </a:r>
                          <a:r>
                            <a:rPr lang="sv-SE" sz="1600" baseline="-25000" dirty="0" smtClean="0"/>
                            <a:t>RB_1</a:t>
                          </a:r>
                          <a:r>
                            <a:rPr lang="sv-SE" sz="1600" dirty="0" smtClean="0"/>
                            <a:t> RBs</a:t>
                          </a:r>
                          <a:endParaRPr lang="en-GB" sz="1600" dirty="0"/>
                        </a:p>
                      </a:txBody>
                      <a:useSpRect/>
                    </a:txSp>
                  </a:sp>
                  <a:cxnSp>
                    <a:nvCxnSpPr>
                      <a:cNvPr id="242" name="Straight Arrow Connector 241"/>
                      <a:cNvCxnSpPr/>
                    </a:nvCxnSpPr>
                    <a:spPr>
                      <a:xfrm>
                        <a:off x="3293476" y="304800"/>
                        <a:ext cx="0" cy="6019800"/>
                      </a:xfrm>
                      <a:prstGeom prst="straightConnector1">
                        <a:avLst/>
                      </a:prstGeom>
                      <a:ln w="25400">
                        <a:solidFill>
                          <a:schemeClr val="tx1"/>
                        </a:solidFill>
                        <a:headEnd type="arrow" w="lg" len="lg"/>
                        <a:tailEnd type="arrow" w="lg" len="lg"/>
                      </a:ln>
                    </a:spPr>
                    <a:style>
                      <a:lnRef idx="1">
                        <a:schemeClr val="accent1"/>
                      </a:lnRef>
                      <a:fillRef idx="0">
                        <a:schemeClr val="accent1"/>
                      </a:fillRef>
                      <a:effectRef idx="0">
                        <a:schemeClr val="accent1"/>
                      </a:effectRef>
                      <a:fontRef idx="minor">
                        <a:schemeClr val="tx1"/>
                      </a:fontRef>
                    </a:style>
                  </a:cxnSp>
                  <a:sp>
                    <a:nvSpPr>
                      <a:cNvPr id="243" name="TextBox 242"/>
                      <a:cNvSpPr txBox="1"/>
                    </a:nvSpPr>
                    <a:spPr>
                      <a:xfrm rot="16200000">
                        <a:off x="2588625" y="2880212"/>
                        <a:ext cx="952505"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dirty="0" smtClean="0"/>
                            <a:t>N</a:t>
                          </a:r>
                          <a:r>
                            <a:rPr lang="sv-SE" sz="1600" baseline="-25000" dirty="0" smtClean="0"/>
                            <a:t>RB_2</a:t>
                          </a:r>
                          <a:r>
                            <a:rPr lang="sv-SE" sz="1600" dirty="0" smtClean="0"/>
                            <a:t> RBs</a:t>
                          </a:r>
                          <a:endParaRPr lang="en-GB" sz="1600" dirty="0"/>
                        </a:p>
                      </a:txBody>
                      <a:useSpRect/>
                    </a:txSp>
                  </a:sp>
                  <a:cxnSp>
                    <a:nvCxnSpPr>
                      <a:cNvPr id="244" name="Straight Arrow Connector 243"/>
                      <a:cNvCxnSpPr/>
                    </a:nvCxnSpPr>
                    <a:spPr>
                      <a:xfrm>
                        <a:off x="5350876" y="304800"/>
                        <a:ext cx="0" cy="6019800"/>
                      </a:xfrm>
                      <a:prstGeom prst="straightConnector1">
                        <a:avLst/>
                      </a:prstGeom>
                      <a:ln w="25400">
                        <a:solidFill>
                          <a:schemeClr val="tx1"/>
                        </a:solidFill>
                        <a:headEnd type="arrow" w="lg" len="lg"/>
                        <a:tailEnd type="arrow" w="lg" len="lg"/>
                      </a:ln>
                    </a:spPr>
                    <a:style>
                      <a:lnRef idx="1">
                        <a:schemeClr val="accent1"/>
                      </a:lnRef>
                      <a:fillRef idx="0">
                        <a:schemeClr val="accent1"/>
                      </a:fillRef>
                      <a:effectRef idx="0">
                        <a:schemeClr val="accent1"/>
                      </a:effectRef>
                      <a:fontRef idx="minor">
                        <a:schemeClr val="tx1"/>
                      </a:fontRef>
                    </a:style>
                  </a:cxnSp>
                  <a:sp>
                    <a:nvSpPr>
                      <a:cNvPr id="245" name="TextBox 244"/>
                      <a:cNvSpPr txBox="1"/>
                    </a:nvSpPr>
                    <a:spPr>
                      <a:xfrm rot="16200000">
                        <a:off x="4646025" y="2880212"/>
                        <a:ext cx="952505"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dirty="0" smtClean="0"/>
                            <a:t>N</a:t>
                          </a:r>
                          <a:r>
                            <a:rPr lang="sv-SE" sz="1600" baseline="-25000" dirty="0" smtClean="0"/>
                            <a:t>RB_4</a:t>
                          </a:r>
                          <a:r>
                            <a:rPr lang="sv-SE" sz="1600" dirty="0" smtClean="0"/>
                            <a:t> RBs</a:t>
                          </a:r>
                          <a:endParaRPr lang="en-GB" sz="1600" dirty="0"/>
                        </a:p>
                      </a:txBody>
                      <a:useSpRect/>
                    </a:txSp>
                  </a:sp>
                </lc:lockedCanvas>
              </a:graphicData>
            </a:graphic>
          </wp:inline>
        </w:drawing>
      </w:r>
    </w:p>
    <w:p w:rsidR="007B546D" w:rsidRDefault="007B546D" w:rsidP="007B546D">
      <w:pPr>
        <w:pStyle w:val="Caption"/>
      </w:pPr>
      <w:bookmarkStart w:id="5" w:name="_Ref450577914"/>
      <w:r>
        <w:t xml:space="preserve">Figure </w:t>
      </w:r>
      <w:fldSimple w:instr=" SEQ Figure \* ARABIC ">
        <w:r w:rsidR="00F610CA">
          <w:rPr>
            <w:noProof/>
          </w:rPr>
          <w:t>2</w:t>
        </w:r>
      </w:fldSimple>
      <w:bookmarkEnd w:id="5"/>
      <w:r>
        <w:t xml:space="preserve"> </w:t>
      </w:r>
      <w:r w:rsidR="003946D4">
        <w:t>–</w:t>
      </w:r>
      <w:r>
        <w:t xml:space="preserve"> </w:t>
      </w:r>
      <w:r w:rsidR="003946D4">
        <w:t>Scheduling granularity for numerologies in the same family, with scaling M=1, M=2 and M=4.</w:t>
      </w:r>
      <w:r w:rsidR="001B2CDE">
        <w:t xml:space="preserve"> Each dotted box</w:t>
      </w:r>
      <w:r w:rsidR="00116121">
        <w:t xml:space="preserve"> indicate</w:t>
      </w:r>
      <w:r w:rsidR="001B2CDE">
        <w:t>s an</w:t>
      </w:r>
      <w:r w:rsidR="00116121">
        <w:t xml:space="preserve"> RB for (a) M=1, (b) M=2 and (c) M=4.</w:t>
      </w:r>
    </w:p>
    <w:p w:rsidR="003946D4" w:rsidRDefault="003946D4" w:rsidP="00921D45">
      <w:pPr>
        <w:adjustRightInd/>
        <w:snapToGrid w:val="0"/>
        <w:spacing w:afterLines="50" w:line="276" w:lineRule="auto"/>
        <w:jc w:val="both"/>
        <w:rPr>
          <w:szCs w:val="20"/>
        </w:rPr>
      </w:pPr>
      <w:r>
        <w:rPr>
          <w:szCs w:val="20"/>
        </w:rPr>
        <w:lastRenderedPageBreak/>
        <w:t>The reduced scheduling granularity</w:t>
      </w:r>
      <w:r w:rsidR="00116121">
        <w:rPr>
          <w:szCs w:val="20"/>
        </w:rPr>
        <w:t xml:space="preserve"> (in the frequency domain)</w:t>
      </w:r>
      <w:r>
        <w:rPr>
          <w:szCs w:val="20"/>
        </w:rPr>
        <w:t xml:space="preserve"> for higher M may result in inefficient and inflexible resource allocation. This is illustrated in </w:t>
      </w:r>
      <w:r w:rsidR="0022597F">
        <w:rPr>
          <w:szCs w:val="20"/>
        </w:rPr>
        <w:fldChar w:fldCharType="begin"/>
      </w:r>
      <w:r w:rsidR="00116121">
        <w:rPr>
          <w:szCs w:val="20"/>
        </w:rPr>
        <w:instrText xml:space="preserve"> REF _Ref450587825 \h </w:instrText>
      </w:r>
      <w:r w:rsidR="0022597F">
        <w:rPr>
          <w:szCs w:val="20"/>
        </w:rPr>
      </w:r>
      <w:r w:rsidR="0022597F">
        <w:rPr>
          <w:szCs w:val="20"/>
        </w:rPr>
        <w:fldChar w:fldCharType="separate"/>
      </w:r>
      <w:r w:rsidR="00F610CA">
        <w:t xml:space="preserve">Figure </w:t>
      </w:r>
      <w:r w:rsidR="00F610CA">
        <w:rPr>
          <w:noProof/>
        </w:rPr>
        <w:t>3</w:t>
      </w:r>
      <w:r w:rsidR="0022597F">
        <w:rPr>
          <w:szCs w:val="20"/>
        </w:rPr>
        <w:fldChar w:fldCharType="end"/>
      </w:r>
      <w:r w:rsidR="00116121">
        <w:rPr>
          <w:szCs w:val="20"/>
        </w:rPr>
        <w:t xml:space="preserve">. </w:t>
      </w:r>
    </w:p>
    <w:p w:rsidR="00B87640" w:rsidRDefault="00295775" w:rsidP="00921D45">
      <w:pPr>
        <w:adjustRightInd/>
        <w:snapToGrid w:val="0"/>
        <w:spacing w:afterLines="50" w:line="276" w:lineRule="auto"/>
        <w:jc w:val="center"/>
        <w:rPr>
          <w:szCs w:val="20"/>
        </w:rPr>
      </w:pPr>
      <w:r w:rsidRPr="00295775">
        <w:rPr>
          <w:noProof/>
          <w:szCs w:val="20"/>
          <w:lang w:val="en-GB" w:eastAsia="en-GB"/>
        </w:rPr>
        <w:drawing>
          <wp:inline distT="0" distB="0" distL="0" distR="0">
            <wp:extent cx="2464904" cy="4063116"/>
            <wp:effectExtent l="0" t="0" r="0" b="0"/>
            <wp:docPr id="20"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768574" cy="8284696"/>
                      <a:chOff x="-76200" y="-1103531"/>
                      <a:chExt cx="4768574" cy="8284696"/>
                    </a:xfrm>
                  </a:grpSpPr>
                  <a:sp>
                    <a:nvSpPr>
                      <a:cNvPr id="47" name="Rectangle 46"/>
                      <a:cNvSpPr/>
                    </a:nvSpPr>
                    <a:spPr>
                      <a:xfrm>
                        <a:off x="9144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9144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12192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12192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15240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15240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18288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18288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9144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914400" y="1828800"/>
                        <a:ext cx="1219200" cy="4572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12192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15240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8288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Rectangle 105"/>
                      <a:cNvSpPr/>
                    </a:nvSpPr>
                    <a:spPr>
                      <a:xfrm>
                        <a:off x="914400" y="0"/>
                        <a:ext cx="1219200" cy="4572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Rectangle 106"/>
                      <a:cNvSpPr/>
                    </a:nvSpPr>
                    <a:spPr>
                      <a:xfrm>
                        <a:off x="914400" y="4191000"/>
                        <a:ext cx="1219200" cy="4572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TextBox 108"/>
                      <a:cNvSpPr txBox="1"/>
                    </a:nvSpPr>
                    <a:spPr>
                      <a:xfrm rot="16200000">
                        <a:off x="1311270" y="3676218"/>
                        <a:ext cx="42992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b="1" dirty="0" smtClean="0"/>
                            <a:t>...</a:t>
                          </a:r>
                          <a:endParaRPr lang="en-GB" sz="2400" b="1" dirty="0"/>
                        </a:p>
                      </a:txBody>
                      <a:useSpRect/>
                    </a:txSp>
                  </a:sp>
                  <a:sp>
                    <a:nvSpPr>
                      <a:cNvPr id="110" name="Right Brace 109"/>
                      <a:cNvSpPr/>
                    </a:nvSpPr>
                    <a:spPr>
                      <a:xfrm>
                        <a:off x="2590800" y="0"/>
                        <a:ext cx="304800" cy="17526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1" name="TextBox 110"/>
                      <a:cNvSpPr txBox="1"/>
                    </a:nvSpPr>
                    <a:spPr>
                      <a:xfrm>
                        <a:off x="2895600" y="609600"/>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width of </a:t>
                          </a:r>
                        </a:p>
                        <a:p>
                          <a:r>
                            <a:rPr lang="sv-SE" dirty="0" smtClean="0"/>
                            <a:t>numerology M=4</a:t>
                          </a:r>
                          <a:endParaRPr lang="en-GB" dirty="0"/>
                        </a:p>
                      </a:txBody>
                      <a:useSpRect/>
                    </a:txSp>
                  </a:sp>
                  <a:sp>
                    <a:nvSpPr>
                      <a:cNvPr id="112" name="Right Brace 111"/>
                      <a:cNvSpPr/>
                    </a:nvSpPr>
                    <a:spPr>
                      <a:xfrm>
                        <a:off x="2590800" y="4191000"/>
                        <a:ext cx="304800" cy="457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3" name="TextBox 112"/>
                      <a:cNvSpPr txBox="1"/>
                    </a:nvSpPr>
                    <a:spPr>
                      <a:xfrm>
                        <a:off x="2895600" y="4078069"/>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width of </a:t>
                          </a:r>
                        </a:p>
                        <a:p>
                          <a:r>
                            <a:rPr lang="sv-SE" dirty="0" smtClean="0"/>
                            <a:t>numerology M=1</a:t>
                          </a:r>
                          <a:endParaRPr lang="en-GB" dirty="0"/>
                        </a:p>
                      </a:txBody>
                      <a:useSpRect/>
                    </a:txSp>
                  </a:sp>
                  <a:sp>
                    <a:nvSpPr>
                      <a:cNvPr id="139" name="Right Brace 138"/>
                      <a:cNvSpPr/>
                    </a:nvSpPr>
                    <a:spPr>
                      <a:xfrm rot="5400000">
                        <a:off x="1828800" y="6248400"/>
                        <a:ext cx="304800" cy="3048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40" name="TextBox 139"/>
                      <a:cNvSpPr txBox="1"/>
                    </a:nvSpPr>
                    <a:spPr>
                      <a:xfrm>
                        <a:off x="1251226" y="6534834"/>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duration of </a:t>
                          </a:r>
                        </a:p>
                        <a:p>
                          <a:r>
                            <a:rPr lang="sv-SE" dirty="0" smtClean="0"/>
                            <a:t>numerology M=4</a:t>
                          </a:r>
                          <a:endParaRPr lang="en-GB" dirty="0"/>
                        </a:p>
                      </a:txBody>
                      <a:useSpRect/>
                    </a:txSp>
                  </a:sp>
                  <a:cxnSp>
                    <a:nvCxnSpPr>
                      <a:cNvPr id="141" name="Straight Arrow Connector 140"/>
                      <a:cNvCxnSpPr/>
                    </a:nvCxnSpPr>
                    <a:spPr>
                      <a:xfrm>
                        <a:off x="152400" y="6477000"/>
                        <a:ext cx="457200"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42" name="Straight Arrow Connector 141"/>
                      <a:cNvCxnSpPr/>
                    </a:nvCxnSpPr>
                    <a:spPr>
                      <a:xfrm flipV="1">
                        <a:off x="152400" y="5867400"/>
                        <a:ext cx="0" cy="6096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3" name="TextBox 142"/>
                      <a:cNvSpPr txBox="1"/>
                    </a:nvSpPr>
                    <a:spPr>
                      <a:xfrm>
                        <a:off x="576590" y="6400800"/>
                        <a:ext cx="2455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t</a:t>
                          </a:r>
                          <a:endParaRPr lang="en-GB" sz="1400" dirty="0"/>
                        </a:p>
                      </a:txBody>
                      <a:useSpRect/>
                    </a:txSp>
                  </a:sp>
                  <a:sp>
                    <a:nvSpPr>
                      <a:cNvPr id="144" name="TextBox 143"/>
                      <a:cNvSpPr txBox="1"/>
                    </a:nvSpPr>
                    <a:spPr>
                      <a:xfrm>
                        <a:off x="-76200" y="5715000"/>
                        <a:ext cx="2391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f</a:t>
                          </a:r>
                          <a:endParaRPr lang="en-GB" sz="1400" dirty="0"/>
                        </a:p>
                      </a:txBody>
                      <a:useSpRect/>
                    </a:txSp>
                  </a:sp>
                  <a:sp>
                    <a:nvSpPr>
                      <a:cNvPr id="145" name="Right Brace 144"/>
                      <a:cNvSpPr/>
                    </a:nvSpPr>
                    <a:spPr>
                      <a:xfrm rot="16200000">
                        <a:off x="1371600" y="-914400"/>
                        <a:ext cx="304800" cy="1219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46" name="TextBox 145"/>
                      <a:cNvSpPr txBox="1"/>
                    </a:nvSpPr>
                    <a:spPr>
                      <a:xfrm>
                        <a:off x="685800" y="-1103531"/>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duration of </a:t>
                          </a:r>
                        </a:p>
                        <a:p>
                          <a:r>
                            <a:rPr lang="sv-SE" dirty="0" smtClean="0"/>
                            <a:t>numerology M=1</a:t>
                          </a:r>
                          <a:endParaRPr lang="en-GB" dirty="0"/>
                        </a:p>
                      </a:txBody>
                      <a:useSpRect/>
                    </a:txSp>
                  </a:sp>
                </lc:lockedCanvas>
              </a:graphicData>
            </a:graphic>
          </wp:inline>
        </w:drawing>
      </w:r>
    </w:p>
    <w:p w:rsidR="00B87640" w:rsidRDefault="00B87640" w:rsidP="00B87640">
      <w:pPr>
        <w:pStyle w:val="Caption"/>
      </w:pPr>
      <w:bookmarkStart w:id="6" w:name="_Ref450587825"/>
      <w:r>
        <w:t xml:space="preserve">Figure </w:t>
      </w:r>
      <w:fldSimple w:instr=" SEQ Figure \* ARABIC ">
        <w:r w:rsidR="00F610CA">
          <w:rPr>
            <w:noProof/>
          </w:rPr>
          <w:t>3</w:t>
        </w:r>
      </w:fldSimple>
      <w:bookmarkEnd w:id="6"/>
      <w:r>
        <w:t xml:space="preserve"> – Example resource allocation when numerologies M=1 (red) and M=4 (blue) are mixed</w:t>
      </w:r>
      <w:r w:rsidR="009628AF">
        <w:t xml:space="preserve"> (no M=4 (blue) RBs allocated!)</w:t>
      </w:r>
      <w:r>
        <w:t xml:space="preserve">. Since M=1 </w:t>
      </w:r>
      <w:r w:rsidR="009628AF">
        <w:t xml:space="preserve">(red) </w:t>
      </w:r>
      <w:r>
        <w:t>is allocated in a distributed fashion with every 4</w:t>
      </w:r>
      <w:r w:rsidRPr="00B87640">
        <w:rPr>
          <w:vertAlign w:val="superscript"/>
        </w:rPr>
        <w:t>th</w:t>
      </w:r>
      <w:r>
        <w:t xml:space="preserve"> RB occupied, no RB </w:t>
      </w:r>
      <w:r w:rsidR="00116121">
        <w:t>for M=4</w:t>
      </w:r>
      <w:r w:rsidR="009628AF">
        <w:t xml:space="preserve"> (blue)</w:t>
      </w:r>
      <w:r w:rsidR="00116121">
        <w:t xml:space="preserve"> </w:t>
      </w:r>
      <w:r>
        <w:t xml:space="preserve">is available for </w:t>
      </w:r>
      <w:r w:rsidR="009402E9">
        <w:t>scheduling, unfortunately</w:t>
      </w:r>
      <w:r>
        <w:t xml:space="preserve">. </w:t>
      </w:r>
      <w:r w:rsidR="00295775">
        <w:t>As a result, a lot of spectrum is left unused.</w:t>
      </w:r>
      <w:r w:rsidR="009628AF">
        <w:t xml:space="preserve"> Note that one RB for M=4 spans four RBs for M=1.</w:t>
      </w:r>
    </w:p>
    <w:p w:rsidR="00116121" w:rsidRDefault="0069278C" w:rsidP="00116121">
      <w:pPr>
        <w:numPr>
          <w:ilvl w:val="0"/>
          <w:numId w:val="1"/>
        </w:numPr>
        <w:ind w:left="357" w:hanging="357"/>
        <w:rPr>
          <w:b/>
          <w:sz w:val="30"/>
          <w:szCs w:val="30"/>
        </w:rPr>
      </w:pPr>
      <w:r>
        <w:rPr>
          <w:b/>
          <w:sz w:val="30"/>
          <w:szCs w:val="30"/>
        </w:rPr>
        <w:t>RB-wid</w:t>
      </w:r>
      <w:r w:rsidR="009402E9">
        <w:rPr>
          <w:b/>
          <w:sz w:val="30"/>
          <w:szCs w:val="30"/>
        </w:rPr>
        <w:t>th Configuration</w:t>
      </w:r>
      <w:r>
        <w:rPr>
          <w:b/>
          <w:sz w:val="30"/>
          <w:szCs w:val="30"/>
        </w:rPr>
        <w:t xml:space="preserve"> for </w:t>
      </w:r>
      <w:r w:rsidR="00116121">
        <w:rPr>
          <w:b/>
          <w:sz w:val="30"/>
          <w:szCs w:val="30"/>
        </w:rPr>
        <w:t xml:space="preserve">Resource Allocation for Multiple Numerologies </w:t>
      </w:r>
    </w:p>
    <w:p w:rsidR="007F3EF2" w:rsidRDefault="006D52EC" w:rsidP="00921D45">
      <w:pPr>
        <w:adjustRightInd/>
        <w:snapToGrid w:val="0"/>
        <w:spacing w:afterLines="50" w:line="276" w:lineRule="auto"/>
        <w:jc w:val="both"/>
        <w:rPr>
          <w:szCs w:val="20"/>
        </w:rPr>
      </w:pPr>
      <w:r>
        <w:rPr>
          <w:szCs w:val="20"/>
        </w:rPr>
        <w:t>Instead</w:t>
      </w:r>
      <w:r w:rsidR="00116121">
        <w:rPr>
          <w:szCs w:val="20"/>
        </w:rPr>
        <w:t xml:space="preserve"> of </w:t>
      </w:r>
      <w:r w:rsidR="001B2CDE">
        <w:rPr>
          <w:szCs w:val="20"/>
        </w:rPr>
        <w:t>scaling the RB-width with M</w:t>
      </w:r>
      <w:r>
        <w:rPr>
          <w:szCs w:val="20"/>
        </w:rPr>
        <w:t xml:space="preserve">, </w:t>
      </w:r>
      <w:r w:rsidR="001B2CDE">
        <w:rPr>
          <w:szCs w:val="20"/>
        </w:rPr>
        <w:t xml:space="preserve">we propose a more flexible approach with a configurable numerology-specific RB definition. </w:t>
      </w:r>
      <w:r w:rsidR="009402E9">
        <w:rPr>
          <w:szCs w:val="20"/>
        </w:rPr>
        <w:t>The RB-width</w:t>
      </w:r>
      <w:r w:rsidR="00C81BB1">
        <w:rPr>
          <w:szCs w:val="20"/>
        </w:rPr>
        <w:t xml:space="preserve"> (Hz)</w:t>
      </w:r>
      <w:r w:rsidR="009402E9">
        <w:rPr>
          <w:szCs w:val="20"/>
        </w:rPr>
        <w:t xml:space="preserve"> for a numerology M is semi-statically configured as</w:t>
      </w:r>
      <w:r w:rsidR="00D2780E">
        <w:rPr>
          <w:szCs w:val="20"/>
        </w:rPr>
        <w:t>:</w:t>
      </w:r>
    </w:p>
    <w:p w:rsidR="0029127B" w:rsidRDefault="0022597F" w:rsidP="00921D45">
      <w:pPr>
        <w:pStyle w:val="ListParagraph"/>
        <w:numPr>
          <w:ilvl w:val="0"/>
          <w:numId w:val="24"/>
        </w:numPr>
        <w:adjustRightInd/>
        <w:snapToGrid w:val="0"/>
        <w:spacing w:afterLines="50" w:line="276" w:lineRule="auto"/>
        <w:ind w:firstLineChars="0"/>
        <w:jc w:val="both"/>
        <w:rPr>
          <w:szCs w:val="20"/>
        </w:rPr>
      </w:pP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RB_M</m:t>
            </m:r>
          </m:sub>
        </m:sSub>
        <m:r>
          <w:rPr>
            <w:rFonts w:ascii="Cambria Math" w:hAnsi="Cambria Math"/>
            <w:szCs w:val="20"/>
          </w:rPr>
          <m:t xml:space="preserve">= </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f</m:t>
                </m:r>
              </m:e>
            </m:acc>
          </m:e>
          <m:sub>
            <m:r>
              <w:rPr>
                <w:rFonts w:ascii="Cambria Math" w:hAnsi="Cambria Math"/>
                <w:szCs w:val="20"/>
              </w:rPr>
              <m:t>RB_M</m:t>
            </m:r>
          </m:sub>
        </m:sSub>
        <m:r>
          <w:rPr>
            <w:rFonts w:ascii="Cambria Math" w:hAnsi="Cambria Math"/>
            <w:szCs w:val="20"/>
          </w:rPr>
          <m:t>*</m:t>
        </m:r>
        <m:f>
          <m:fPr>
            <m:ctrlPr>
              <w:rPr>
                <w:rFonts w:ascii="Cambria Math" w:hAnsi="Cambria Math"/>
                <w:i/>
                <w:szCs w:val="20"/>
              </w:rPr>
            </m:ctrlPr>
          </m:fPr>
          <m:num>
            <m:r>
              <w:rPr>
                <w:rFonts w:ascii="Cambria Math" w:hAnsi="Cambria Math"/>
                <w:szCs w:val="20"/>
              </w:rPr>
              <m:t>K</m:t>
            </m:r>
          </m:num>
          <m:den>
            <m:r>
              <w:rPr>
                <w:rFonts w:ascii="Cambria Math" w:hAnsi="Cambria Math"/>
                <w:szCs w:val="20"/>
              </w:rPr>
              <m:t>L</m:t>
            </m:r>
          </m:den>
        </m:f>
      </m:oMath>
      <w:r w:rsidR="0029127B" w:rsidRPr="0029127B">
        <w:rPr>
          <w:szCs w:val="20"/>
        </w:rPr>
        <w:t xml:space="preserve"> </w:t>
      </w:r>
    </w:p>
    <w:p w:rsidR="006D52EC" w:rsidRPr="0029127B" w:rsidRDefault="009402E9" w:rsidP="00921D45">
      <w:pPr>
        <w:adjustRightInd/>
        <w:snapToGrid w:val="0"/>
        <w:spacing w:afterLines="50" w:line="276" w:lineRule="auto"/>
        <w:jc w:val="both"/>
        <w:rPr>
          <w:szCs w:val="20"/>
        </w:rPr>
      </w:pPr>
      <w:r w:rsidRPr="0029127B">
        <w:rPr>
          <w:szCs w:val="20"/>
        </w:rPr>
        <w:t>where</w:t>
      </w:r>
    </w:p>
    <w:p w:rsidR="009402E9" w:rsidRDefault="0022597F" w:rsidP="00921D45">
      <w:pPr>
        <w:pStyle w:val="ListParagraph"/>
        <w:numPr>
          <w:ilvl w:val="0"/>
          <w:numId w:val="24"/>
        </w:numPr>
        <w:adjustRightInd/>
        <w:snapToGrid w:val="0"/>
        <w:spacing w:afterLines="50" w:line="276" w:lineRule="auto"/>
        <w:ind w:firstLineChars="0"/>
        <w:jc w:val="both"/>
        <w:rPr>
          <w:szCs w:val="20"/>
        </w:rPr>
      </w:pP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f</m:t>
                </m:r>
              </m:e>
            </m:acc>
          </m:e>
          <m:sub>
            <m:r>
              <w:rPr>
                <w:rFonts w:ascii="Cambria Math" w:hAnsi="Cambria Math"/>
                <w:szCs w:val="20"/>
              </w:rPr>
              <m:t>RB_M</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RB</m:t>
            </m:r>
          </m:sup>
        </m:sSubSup>
        <m:sSub>
          <m:sSubPr>
            <m:ctrlPr>
              <w:rPr>
                <w:rFonts w:ascii="Cambria Math" w:hAnsi="Cambria Math"/>
                <w:i/>
                <w:szCs w:val="20"/>
              </w:rPr>
            </m:ctrlPr>
          </m:sSubPr>
          <m:e>
            <m:r>
              <w:rPr>
                <w:rFonts w:ascii="Cambria Math" w:hAnsi="Cambria Math"/>
                <w:szCs w:val="20"/>
              </w:rPr>
              <m:t>∆f</m:t>
            </m:r>
          </m:e>
          <m:sub>
            <m:r>
              <w:rPr>
                <w:rFonts w:ascii="Cambria Math" w:hAnsi="Cambria Math"/>
                <w:szCs w:val="20"/>
              </w:rPr>
              <m:t>M</m:t>
            </m:r>
          </m:sub>
        </m:sSub>
      </m:oMath>
      <w:r w:rsidR="009402E9">
        <w:rPr>
          <w:szCs w:val="20"/>
        </w:rPr>
        <w:t xml:space="preserve"> </w:t>
      </w:r>
      <w:r w:rsidR="00C3079E">
        <w:rPr>
          <w:szCs w:val="20"/>
        </w:rPr>
        <w:t>i</w:t>
      </w:r>
      <w:r w:rsidR="00C81BB1">
        <w:rPr>
          <w:szCs w:val="20"/>
        </w:rPr>
        <w:t>s the nominal RB-width (Hz)</w:t>
      </w:r>
      <w:r w:rsidR="00C3079E">
        <w:rPr>
          <w:szCs w:val="20"/>
        </w:rPr>
        <w:t xml:space="preserve"> for numerology with scaling M, such as in section </w:t>
      </w:r>
      <w:r>
        <w:rPr>
          <w:szCs w:val="20"/>
        </w:rPr>
        <w:fldChar w:fldCharType="begin"/>
      </w:r>
      <w:r w:rsidR="00C3079E">
        <w:rPr>
          <w:szCs w:val="20"/>
        </w:rPr>
        <w:instrText xml:space="preserve"> REF _Ref450591606 \n \h </w:instrText>
      </w:r>
      <w:r>
        <w:rPr>
          <w:szCs w:val="20"/>
        </w:rPr>
      </w:r>
      <w:r>
        <w:rPr>
          <w:szCs w:val="20"/>
        </w:rPr>
        <w:fldChar w:fldCharType="separate"/>
      </w:r>
      <w:r w:rsidR="00F610CA">
        <w:rPr>
          <w:szCs w:val="20"/>
        </w:rPr>
        <w:t>4</w:t>
      </w:r>
      <w:r>
        <w:rPr>
          <w:szCs w:val="20"/>
        </w:rPr>
        <w:fldChar w:fldCharType="end"/>
      </w:r>
      <w:r w:rsidR="00C3079E">
        <w:rPr>
          <w:szCs w:val="20"/>
        </w:rPr>
        <w:t>,</w:t>
      </w:r>
      <w:r w:rsidR="00247311">
        <w:rPr>
          <w:szCs w:val="20"/>
        </w:rPr>
        <w:t xml:space="preserve"> with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RB</m:t>
            </m:r>
          </m:sup>
        </m:sSubSup>
      </m:oMath>
      <w:r w:rsidR="00247311">
        <w:rPr>
          <w:szCs w:val="20"/>
        </w:rPr>
        <w:t xml:space="preserve"> being a nominal number of subcarriers per RB,</w:t>
      </w:r>
      <w:r w:rsidR="00C81BB1">
        <w:rPr>
          <w:szCs w:val="20"/>
        </w:rPr>
        <w:t xml:space="preserve"> for instance 12,</w:t>
      </w:r>
    </w:p>
    <w:p w:rsidR="00C3079E" w:rsidRPr="009402E9" w:rsidRDefault="00C3079E" w:rsidP="00921D45">
      <w:pPr>
        <w:pStyle w:val="ListParagraph"/>
        <w:numPr>
          <w:ilvl w:val="0"/>
          <w:numId w:val="24"/>
        </w:numPr>
        <w:adjustRightInd/>
        <w:snapToGrid w:val="0"/>
        <w:spacing w:afterLines="50" w:line="276" w:lineRule="auto"/>
        <w:ind w:firstLineChars="0"/>
        <w:jc w:val="both"/>
        <w:rPr>
          <w:szCs w:val="20"/>
        </w:rPr>
      </w:pPr>
      <w:r>
        <w:rPr>
          <w:szCs w:val="20"/>
        </w:rPr>
        <w:t>K and L are configurable positive integers.</w:t>
      </w:r>
    </w:p>
    <w:p w:rsidR="00C3079E" w:rsidRDefault="007E267A" w:rsidP="00921D45">
      <w:pPr>
        <w:adjustRightInd/>
        <w:snapToGrid w:val="0"/>
        <w:spacing w:afterLines="50" w:line="276" w:lineRule="auto"/>
        <w:jc w:val="both"/>
        <w:rPr>
          <w:szCs w:val="20"/>
        </w:rPr>
      </w:pPr>
      <w:r>
        <w:rPr>
          <w:szCs w:val="20"/>
        </w:rPr>
        <w:t xml:space="preserve">It </w:t>
      </w:r>
      <w:r w:rsidR="00C3079E">
        <w:rPr>
          <w:szCs w:val="20"/>
        </w:rPr>
        <w:t>is assumed that from the RB-width</w:t>
      </w:r>
      <w:r>
        <w:rPr>
          <w:szCs w:val="20"/>
        </w:rPr>
        <w:t>, also the frequency</w:t>
      </w:r>
      <w:r w:rsidR="00C81BB1">
        <w:rPr>
          <w:szCs w:val="20"/>
        </w:rPr>
        <w:t xml:space="preserve"> ranges of different RBs</w:t>
      </w:r>
      <w:r>
        <w:rPr>
          <w:szCs w:val="20"/>
        </w:rPr>
        <w:t xml:space="preserve"> can be derived. </w:t>
      </w:r>
    </w:p>
    <w:p w:rsidR="00F001B4" w:rsidRDefault="00F001B4" w:rsidP="00F001B4">
      <w:pPr>
        <w:pStyle w:val="Caption"/>
      </w:pPr>
      <w:bookmarkStart w:id="7" w:name="_Ref450692872"/>
      <w:r>
        <w:t xml:space="preserve">Proposal </w:t>
      </w:r>
      <w:fldSimple w:instr=" SEQ Proposal \* ARABIC ">
        <w:r w:rsidR="00F610CA">
          <w:rPr>
            <w:noProof/>
          </w:rPr>
          <w:t>1</w:t>
        </w:r>
      </w:fldSimple>
      <w:r w:rsidR="008A5F17">
        <w:t xml:space="preserve"> –</w:t>
      </w:r>
      <w:r>
        <w:t xml:space="preserve"> The RB-width</w:t>
      </w:r>
      <w:r w:rsidR="00C81BB1">
        <w:t xml:space="preserve"> (Hz)</w:t>
      </w:r>
      <w:r>
        <w:t xml:space="preserve"> for a numerology can be semi-statically configured with a factor K/L, with K and L positive integers, that is multiplied to the nominal RB-width</w:t>
      </w:r>
      <w:r w:rsidR="00C81BB1">
        <w:t xml:space="preserve"> (Hz)</w:t>
      </w:r>
      <w:r>
        <w:t>.</w:t>
      </w:r>
      <w:bookmarkEnd w:id="7"/>
    </w:p>
    <w:p w:rsidR="00247311" w:rsidRDefault="00247311" w:rsidP="00921D45">
      <w:pPr>
        <w:adjustRightInd/>
        <w:snapToGrid w:val="0"/>
        <w:spacing w:afterLines="50" w:line="276" w:lineRule="auto"/>
        <w:jc w:val="both"/>
        <w:rPr>
          <w:szCs w:val="20"/>
        </w:rPr>
      </w:pPr>
      <w:r>
        <w:rPr>
          <w:szCs w:val="20"/>
        </w:rPr>
        <w:lastRenderedPageBreak/>
        <w:t xml:space="preserve">Returning to the example of </w:t>
      </w:r>
      <w:r w:rsidR="0022597F">
        <w:rPr>
          <w:szCs w:val="20"/>
        </w:rPr>
        <w:fldChar w:fldCharType="begin"/>
      </w:r>
      <w:r>
        <w:rPr>
          <w:szCs w:val="20"/>
        </w:rPr>
        <w:instrText xml:space="preserve"> REF _Ref450587825 \h </w:instrText>
      </w:r>
      <w:r w:rsidR="0022597F">
        <w:rPr>
          <w:szCs w:val="20"/>
        </w:rPr>
      </w:r>
      <w:r w:rsidR="0022597F">
        <w:rPr>
          <w:szCs w:val="20"/>
        </w:rPr>
        <w:fldChar w:fldCharType="separate"/>
      </w:r>
      <w:r w:rsidR="00F610CA">
        <w:t xml:space="preserve">Figure </w:t>
      </w:r>
      <w:r w:rsidR="00F610CA">
        <w:rPr>
          <w:noProof/>
        </w:rPr>
        <w:t>3</w:t>
      </w:r>
      <w:r w:rsidR="0022597F">
        <w:rPr>
          <w:szCs w:val="20"/>
        </w:rPr>
        <w:fldChar w:fldCharType="end"/>
      </w:r>
      <w:r>
        <w:rPr>
          <w:szCs w:val="20"/>
        </w:rPr>
        <w:t xml:space="preserve">, assume that the RB-width for numerology M=4 is configured with K/L=1/4. This would mean that each RB for M=4 would span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RB</m:t>
            </m:r>
          </m:sup>
        </m:sSubSup>
        <m:r>
          <w:rPr>
            <w:rFonts w:ascii="Cambria Math" w:hAnsi="Cambria Math"/>
            <w:szCs w:val="20"/>
          </w:rPr>
          <m:t>/4</m:t>
        </m:r>
      </m:oMath>
      <w:r>
        <w:rPr>
          <w:szCs w:val="20"/>
        </w:rPr>
        <w:t xml:space="preserve"> </w:t>
      </w:r>
      <w:r w:rsidR="00295775">
        <w:rPr>
          <w:szCs w:val="20"/>
        </w:rPr>
        <w:t xml:space="preserve">subcarriers. </w:t>
      </w:r>
      <w:r w:rsidR="0022597F">
        <w:rPr>
          <w:szCs w:val="20"/>
        </w:rPr>
        <w:fldChar w:fldCharType="begin"/>
      </w:r>
      <w:r w:rsidR="00295775">
        <w:rPr>
          <w:szCs w:val="20"/>
        </w:rPr>
        <w:instrText xml:space="preserve"> REF _Ref450593189 \h </w:instrText>
      </w:r>
      <w:r w:rsidR="0022597F">
        <w:rPr>
          <w:szCs w:val="20"/>
        </w:rPr>
      </w:r>
      <w:r w:rsidR="0022597F">
        <w:rPr>
          <w:szCs w:val="20"/>
        </w:rPr>
        <w:fldChar w:fldCharType="separate"/>
      </w:r>
      <w:r w:rsidR="00F610CA">
        <w:t xml:space="preserve">Figure </w:t>
      </w:r>
      <w:r w:rsidR="00F610CA">
        <w:rPr>
          <w:noProof/>
        </w:rPr>
        <w:t>4</w:t>
      </w:r>
      <w:r w:rsidR="0022597F">
        <w:rPr>
          <w:szCs w:val="20"/>
        </w:rPr>
        <w:fldChar w:fldCharType="end"/>
      </w:r>
      <w:r w:rsidR="00295775">
        <w:rPr>
          <w:szCs w:val="20"/>
        </w:rPr>
        <w:t xml:space="preserve"> illustrates an example resource allocation, where a lot of resources can be allocated to the M=4 numerology, due to the increased scheduling granularity with K/L=1/4.</w:t>
      </w:r>
      <w:r w:rsidR="00A515D6">
        <w:rPr>
          <w:szCs w:val="20"/>
        </w:rPr>
        <w:t xml:space="preserve"> A drawback of increased scheduling granularity (K/L&lt;1) is increased control overhead.</w:t>
      </w:r>
    </w:p>
    <w:p w:rsidR="00247311" w:rsidRDefault="00A945E2" w:rsidP="00921D45">
      <w:pPr>
        <w:adjustRightInd/>
        <w:snapToGrid w:val="0"/>
        <w:spacing w:afterLines="50" w:line="276" w:lineRule="auto"/>
        <w:jc w:val="center"/>
        <w:rPr>
          <w:szCs w:val="20"/>
        </w:rPr>
      </w:pPr>
      <w:r w:rsidRPr="00A945E2">
        <w:rPr>
          <w:noProof/>
          <w:szCs w:val="20"/>
          <w:lang w:val="en-GB" w:eastAsia="en-GB"/>
        </w:rPr>
        <w:drawing>
          <wp:inline distT="0" distB="0" distL="0" distR="0">
            <wp:extent cx="2377440" cy="4524292"/>
            <wp:effectExtent l="0" t="0" r="0" b="0"/>
            <wp:docPr id="30" name="Object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5543" cy="8284696"/>
                      <a:chOff x="-76200" y="-1103531"/>
                      <a:chExt cx="4825543" cy="8284696"/>
                    </a:xfrm>
                  </a:grpSpPr>
                  <a:sp>
                    <a:nvSpPr>
                      <a:cNvPr id="47" name="Rectangle 46"/>
                      <a:cNvSpPr/>
                    </a:nvSpPr>
                    <a:spPr>
                      <a:xfrm>
                        <a:off x="9144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9144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12192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12192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15240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15240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18288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18288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9144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914400" y="1828800"/>
                        <a:ext cx="1219200" cy="4572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12192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15240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8288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Rectangle 105"/>
                      <a:cNvSpPr/>
                    </a:nvSpPr>
                    <a:spPr>
                      <a:xfrm>
                        <a:off x="914400" y="0"/>
                        <a:ext cx="1219200" cy="4572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Rectangle 106"/>
                      <a:cNvSpPr/>
                    </a:nvSpPr>
                    <a:spPr>
                      <a:xfrm>
                        <a:off x="914400" y="4191000"/>
                        <a:ext cx="1219200" cy="4572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TextBox 108"/>
                      <a:cNvSpPr txBox="1"/>
                    </a:nvSpPr>
                    <a:spPr>
                      <a:xfrm rot="16200000">
                        <a:off x="1311270" y="3676218"/>
                        <a:ext cx="42992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b="1" dirty="0" smtClean="0"/>
                            <a:t>...</a:t>
                          </a:r>
                          <a:endParaRPr lang="en-GB" sz="2400" b="1" dirty="0"/>
                        </a:p>
                      </a:txBody>
                      <a:useSpRect/>
                    </a:txSp>
                  </a:sp>
                  <a:sp>
                    <a:nvSpPr>
                      <a:cNvPr id="110" name="Right Brace 109"/>
                      <a:cNvSpPr/>
                    </a:nvSpPr>
                    <a:spPr>
                      <a:xfrm>
                        <a:off x="2590800" y="1371600"/>
                        <a:ext cx="304800" cy="3810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1" name="TextBox 110"/>
                      <a:cNvSpPr txBox="1"/>
                    </a:nvSpPr>
                    <a:spPr>
                      <a:xfrm>
                        <a:off x="2927626" y="1219200"/>
                        <a:ext cx="1821717"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b="1" dirty="0" smtClean="0"/>
                            <a:t>RB width of </a:t>
                          </a:r>
                        </a:p>
                        <a:p>
                          <a:r>
                            <a:rPr lang="sv-SE" b="1" dirty="0" smtClean="0"/>
                            <a:t>numerology M=4</a:t>
                          </a:r>
                        </a:p>
                        <a:p>
                          <a:r>
                            <a:rPr lang="sv-SE" b="1" dirty="0" smtClean="0"/>
                            <a:t>(reconfigured)</a:t>
                          </a:r>
                          <a:endParaRPr lang="en-GB" b="1" dirty="0"/>
                        </a:p>
                      </a:txBody>
                      <a:useSpRect/>
                    </a:txSp>
                  </a:sp>
                  <a:sp>
                    <a:nvSpPr>
                      <a:cNvPr id="112" name="Right Brace 111"/>
                      <a:cNvSpPr/>
                    </a:nvSpPr>
                    <a:spPr>
                      <a:xfrm>
                        <a:off x="2590800" y="4191000"/>
                        <a:ext cx="304800" cy="457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3" name="TextBox 112"/>
                      <a:cNvSpPr txBox="1"/>
                    </a:nvSpPr>
                    <a:spPr>
                      <a:xfrm>
                        <a:off x="2895600" y="4078069"/>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width of </a:t>
                          </a:r>
                        </a:p>
                        <a:p>
                          <a:r>
                            <a:rPr lang="sv-SE" dirty="0" smtClean="0"/>
                            <a:t>numerology M=1</a:t>
                          </a:r>
                          <a:endParaRPr lang="en-GB" dirty="0"/>
                        </a:p>
                      </a:txBody>
                      <a:useSpRect/>
                    </a:txSp>
                  </a:sp>
                  <a:sp>
                    <a:nvSpPr>
                      <a:cNvPr id="139" name="Right Brace 138"/>
                      <a:cNvSpPr/>
                    </a:nvSpPr>
                    <a:spPr>
                      <a:xfrm rot="5400000">
                        <a:off x="1828800" y="6248400"/>
                        <a:ext cx="304800" cy="3048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40" name="TextBox 139"/>
                      <a:cNvSpPr txBox="1"/>
                    </a:nvSpPr>
                    <a:spPr>
                      <a:xfrm>
                        <a:off x="1251226" y="6534834"/>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duration of </a:t>
                          </a:r>
                        </a:p>
                        <a:p>
                          <a:r>
                            <a:rPr lang="sv-SE" dirty="0" smtClean="0"/>
                            <a:t>numerology M=4</a:t>
                          </a:r>
                          <a:endParaRPr lang="en-GB" dirty="0"/>
                        </a:p>
                      </a:txBody>
                      <a:useSpRect/>
                    </a:txSp>
                  </a:sp>
                  <a:cxnSp>
                    <a:nvCxnSpPr>
                      <a:cNvPr id="141" name="Straight Arrow Connector 140"/>
                      <a:cNvCxnSpPr/>
                    </a:nvCxnSpPr>
                    <a:spPr>
                      <a:xfrm>
                        <a:off x="152400" y="6477000"/>
                        <a:ext cx="457200"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42" name="Straight Arrow Connector 141"/>
                      <a:cNvCxnSpPr/>
                    </a:nvCxnSpPr>
                    <a:spPr>
                      <a:xfrm flipV="1">
                        <a:off x="152400" y="5867400"/>
                        <a:ext cx="0" cy="6096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3" name="TextBox 142"/>
                      <a:cNvSpPr txBox="1"/>
                    </a:nvSpPr>
                    <a:spPr>
                      <a:xfrm>
                        <a:off x="576590" y="6400800"/>
                        <a:ext cx="2455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t</a:t>
                          </a:r>
                          <a:endParaRPr lang="en-GB" sz="1400" dirty="0"/>
                        </a:p>
                      </a:txBody>
                      <a:useSpRect/>
                    </a:txSp>
                  </a:sp>
                  <a:sp>
                    <a:nvSpPr>
                      <a:cNvPr id="144" name="TextBox 143"/>
                      <a:cNvSpPr txBox="1"/>
                    </a:nvSpPr>
                    <a:spPr>
                      <a:xfrm>
                        <a:off x="-76200" y="5715000"/>
                        <a:ext cx="2391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f</a:t>
                          </a:r>
                          <a:endParaRPr lang="en-GB" sz="1400" dirty="0"/>
                        </a:p>
                      </a:txBody>
                      <a:useSpRect/>
                    </a:txSp>
                  </a:sp>
                  <a:sp>
                    <a:nvSpPr>
                      <a:cNvPr id="145" name="Right Brace 144"/>
                      <a:cNvSpPr/>
                    </a:nvSpPr>
                    <a:spPr>
                      <a:xfrm rot="16200000">
                        <a:off x="1371600" y="-914400"/>
                        <a:ext cx="304800" cy="1219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46" name="TextBox 145"/>
                      <a:cNvSpPr txBox="1"/>
                    </a:nvSpPr>
                    <a:spPr>
                      <a:xfrm>
                        <a:off x="685800" y="-1103531"/>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duration of </a:t>
                          </a:r>
                        </a:p>
                        <a:p>
                          <a:r>
                            <a:rPr lang="sv-SE" dirty="0" smtClean="0"/>
                            <a:t>numerology M=1</a:t>
                          </a:r>
                          <a:endParaRPr lang="en-GB" dirty="0"/>
                        </a:p>
                      </a:txBody>
                      <a:useSpRect/>
                    </a:txSp>
                  </a:sp>
                  <a:sp>
                    <a:nvSpPr>
                      <a:cNvPr id="31" name="Rectangle 30"/>
                      <a:cNvSpPr/>
                    </a:nvSpPr>
                    <a:spPr>
                      <a:xfrm>
                        <a:off x="1219200" y="22860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1524000" y="22860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Rectangle 32"/>
                      <a:cNvSpPr/>
                    </a:nvSpPr>
                    <a:spPr>
                      <a:xfrm>
                        <a:off x="1828800" y="22860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1219200" y="2743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1524000" y="2743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1828800" y="2743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1219200" y="3200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1524000" y="3200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1828800" y="3200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1219200" y="457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ectangle 43"/>
                      <a:cNvSpPr/>
                    </a:nvSpPr>
                    <a:spPr>
                      <a:xfrm>
                        <a:off x="1524000" y="457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1828800" y="457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219200" y="914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1524000" y="914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1828800" y="914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1219200" y="13716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1524000" y="13716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1828800" y="13716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ectangle 66"/>
                      <a:cNvSpPr/>
                    </a:nvSpPr>
                    <a:spPr>
                      <a:xfrm>
                        <a:off x="1219200" y="4648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ectangle 67"/>
                      <a:cNvSpPr/>
                    </a:nvSpPr>
                    <a:spPr>
                      <a:xfrm>
                        <a:off x="1524000" y="4648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ectangle 68"/>
                      <a:cNvSpPr/>
                    </a:nvSpPr>
                    <a:spPr>
                      <a:xfrm>
                        <a:off x="1828800" y="46482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Rectangle 70"/>
                      <a:cNvSpPr/>
                    </a:nvSpPr>
                    <a:spPr>
                      <a:xfrm>
                        <a:off x="1219200" y="5105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1524000" y="5105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828800" y="51054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219200" y="55626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524000" y="55626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1828800" y="5562600"/>
                        <a:ext cx="304800" cy="4572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295775" w:rsidRDefault="00295775" w:rsidP="00295775">
      <w:pPr>
        <w:pStyle w:val="Caption"/>
      </w:pPr>
      <w:bookmarkStart w:id="8" w:name="_Ref450593189"/>
      <w:r>
        <w:t xml:space="preserve">Figure </w:t>
      </w:r>
      <w:fldSimple w:instr=" SEQ Figure \* ARABIC ">
        <w:r w:rsidR="00F610CA">
          <w:rPr>
            <w:noProof/>
          </w:rPr>
          <w:t>4</w:t>
        </w:r>
      </w:fldSimple>
      <w:bookmarkEnd w:id="8"/>
      <w:r>
        <w:t xml:space="preserve"> - Example resource allocation when numerologies M=1 (red) and M=4 (blue) are mixed. The RB-width for M=4 is configured with K/L=1/4, which results in equal RB-width for the M=1 and M=4 numerologies. As a result, </w:t>
      </w:r>
      <w:r w:rsidR="00A945E2">
        <w:t>all</w:t>
      </w:r>
      <w:r>
        <w:t xml:space="preserve"> spectrum can be used.</w:t>
      </w:r>
    </w:p>
    <w:p w:rsidR="00295775" w:rsidRDefault="00295775" w:rsidP="00921D45">
      <w:pPr>
        <w:adjustRightInd/>
        <w:snapToGrid w:val="0"/>
        <w:spacing w:afterLines="50" w:line="276" w:lineRule="auto"/>
        <w:jc w:val="both"/>
        <w:rPr>
          <w:szCs w:val="20"/>
        </w:rPr>
      </w:pPr>
      <w:r>
        <w:rPr>
          <w:szCs w:val="20"/>
        </w:rPr>
        <w:t xml:space="preserve">In another example, </w:t>
      </w:r>
      <w:r w:rsidR="00A515D6">
        <w:rPr>
          <w:szCs w:val="20"/>
        </w:rPr>
        <w:t xml:space="preserve">the RB-width for numerology M=1 instead is configured with K/L=4. This would mean that each RB for M=1 would span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RB</m:t>
            </m:r>
          </m:sup>
        </m:sSubSup>
        <m:r>
          <w:rPr>
            <w:rFonts w:ascii="Cambria Math" w:hAnsi="Cambria Math"/>
            <w:szCs w:val="20"/>
          </w:rPr>
          <m:t>*4</m:t>
        </m:r>
      </m:oMath>
      <w:r w:rsidR="00A515D6">
        <w:rPr>
          <w:szCs w:val="20"/>
        </w:rPr>
        <w:t xml:space="preserve"> subcarriers. This is similar to resource block grouping (RBG) in LTE. </w:t>
      </w:r>
      <w:r w:rsidR="0022597F">
        <w:rPr>
          <w:szCs w:val="20"/>
        </w:rPr>
        <w:fldChar w:fldCharType="begin"/>
      </w:r>
      <w:r w:rsidR="00A515D6">
        <w:rPr>
          <w:szCs w:val="20"/>
        </w:rPr>
        <w:instrText xml:space="preserve"> REF _Ref450593666 \h </w:instrText>
      </w:r>
      <w:r w:rsidR="0022597F">
        <w:rPr>
          <w:szCs w:val="20"/>
        </w:rPr>
      </w:r>
      <w:r w:rsidR="0022597F">
        <w:rPr>
          <w:szCs w:val="20"/>
        </w:rPr>
        <w:fldChar w:fldCharType="separate"/>
      </w:r>
      <w:r w:rsidR="00F610CA">
        <w:t xml:space="preserve">Figure </w:t>
      </w:r>
      <w:r w:rsidR="00F610CA">
        <w:rPr>
          <w:noProof/>
        </w:rPr>
        <w:t>5</w:t>
      </w:r>
      <w:r w:rsidR="0022597F">
        <w:rPr>
          <w:szCs w:val="20"/>
        </w:rPr>
        <w:fldChar w:fldCharType="end"/>
      </w:r>
      <w:r w:rsidR="00A515D6">
        <w:rPr>
          <w:szCs w:val="20"/>
        </w:rPr>
        <w:t xml:space="preserve"> illustrates an example resource allocation. A benefit of reduced scheduling granularity (K/L&gt;1) is reduced control overhead.</w:t>
      </w:r>
    </w:p>
    <w:p w:rsidR="00295775" w:rsidRDefault="00A945E2" w:rsidP="00921D45">
      <w:pPr>
        <w:adjustRightInd/>
        <w:snapToGrid w:val="0"/>
        <w:spacing w:afterLines="50" w:line="276" w:lineRule="auto"/>
        <w:jc w:val="center"/>
        <w:rPr>
          <w:szCs w:val="20"/>
        </w:rPr>
      </w:pPr>
      <w:r w:rsidRPr="00A945E2">
        <w:rPr>
          <w:noProof/>
          <w:szCs w:val="20"/>
          <w:lang w:val="en-GB" w:eastAsia="en-GB"/>
        </w:rPr>
        <w:lastRenderedPageBreak/>
        <w:drawing>
          <wp:inline distT="0" distB="0" distL="0" distR="0">
            <wp:extent cx="2496710" cy="4635610"/>
            <wp:effectExtent l="0" t="0" r="0" b="0"/>
            <wp:docPr id="31" name="Object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5543" cy="8284696"/>
                      <a:chOff x="-76200" y="-1103531"/>
                      <a:chExt cx="4825543" cy="8284696"/>
                    </a:xfrm>
                  </a:grpSpPr>
                  <a:sp>
                    <a:nvSpPr>
                      <a:cNvPr id="47" name="Rectangle 46"/>
                      <a:cNvSpPr/>
                    </a:nvSpPr>
                    <a:spPr>
                      <a:xfrm>
                        <a:off x="9144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9144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12192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12192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15240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15240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1828800" y="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1828800" y="18288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9144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12192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15240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8288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Rectangle 105"/>
                      <a:cNvSpPr/>
                    </a:nvSpPr>
                    <a:spPr>
                      <a:xfrm>
                        <a:off x="914400" y="0"/>
                        <a:ext cx="1219200" cy="1828800"/>
                      </a:xfrm>
                      <a:prstGeom prst="rect">
                        <a:avLst/>
                      </a:prstGeom>
                      <a:solidFill>
                        <a:srgbClr val="C0000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TextBox 108"/>
                      <a:cNvSpPr txBox="1"/>
                    </a:nvSpPr>
                    <a:spPr>
                      <a:xfrm rot="16200000">
                        <a:off x="1311270" y="3676218"/>
                        <a:ext cx="42992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b="1" dirty="0" smtClean="0"/>
                            <a:t>...</a:t>
                          </a:r>
                          <a:endParaRPr lang="en-GB" sz="2400" b="1" dirty="0"/>
                        </a:p>
                      </a:txBody>
                      <a:useSpRect/>
                    </a:txSp>
                  </a:sp>
                  <a:sp>
                    <a:nvSpPr>
                      <a:cNvPr id="110" name="Right Brace 109"/>
                      <a:cNvSpPr/>
                    </a:nvSpPr>
                    <a:spPr>
                      <a:xfrm>
                        <a:off x="2590800" y="0"/>
                        <a:ext cx="304800" cy="18288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1" name="TextBox 110"/>
                      <a:cNvSpPr txBox="1"/>
                    </a:nvSpPr>
                    <a:spPr>
                      <a:xfrm>
                        <a:off x="2927626" y="572869"/>
                        <a:ext cx="1821717"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b="1" dirty="0" smtClean="0"/>
                            <a:t>RB width of </a:t>
                          </a:r>
                        </a:p>
                        <a:p>
                          <a:r>
                            <a:rPr lang="sv-SE" b="1" dirty="0" smtClean="0"/>
                            <a:t>numerology M=1</a:t>
                          </a:r>
                        </a:p>
                        <a:p>
                          <a:r>
                            <a:rPr lang="sv-SE" b="1" dirty="0" smtClean="0"/>
                            <a:t>(reconfigured)</a:t>
                          </a:r>
                          <a:endParaRPr lang="en-GB" b="1" dirty="0"/>
                        </a:p>
                      </a:txBody>
                      <a:useSpRect/>
                    </a:txSp>
                  </a:sp>
                  <a:sp>
                    <a:nvSpPr>
                      <a:cNvPr id="112" name="Right Brace 111"/>
                      <a:cNvSpPr/>
                    </a:nvSpPr>
                    <a:spPr>
                      <a:xfrm>
                        <a:off x="2590800" y="4191000"/>
                        <a:ext cx="304800" cy="18288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3" name="TextBox 112"/>
                      <a:cNvSpPr txBox="1"/>
                    </a:nvSpPr>
                    <a:spPr>
                      <a:xfrm>
                        <a:off x="2895600" y="4763869"/>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width of </a:t>
                          </a:r>
                        </a:p>
                        <a:p>
                          <a:r>
                            <a:rPr lang="sv-SE" dirty="0" smtClean="0"/>
                            <a:t>numerology M=4</a:t>
                          </a:r>
                          <a:endParaRPr lang="en-GB" dirty="0"/>
                        </a:p>
                      </a:txBody>
                      <a:useSpRect/>
                    </a:txSp>
                  </a:sp>
                  <a:sp>
                    <a:nvSpPr>
                      <a:cNvPr id="139" name="Right Brace 138"/>
                      <a:cNvSpPr/>
                    </a:nvSpPr>
                    <a:spPr>
                      <a:xfrm rot="5400000">
                        <a:off x="1828800" y="6248400"/>
                        <a:ext cx="304800" cy="3048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40" name="TextBox 139"/>
                      <a:cNvSpPr txBox="1"/>
                    </a:nvSpPr>
                    <a:spPr>
                      <a:xfrm>
                        <a:off x="1251226" y="6534834"/>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duration of </a:t>
                          </a:r>
                        </a:p>
                        <a:p>
                          <a:r>
                            <a:rPr lang="sv-SE" dirty="0" smtClean="0"/>
                            <a:t>numerology M=4</a:t>
                          </a:r>
                          <a:endParaRPr lang="en-GB" dirty="0"/>
                        </a:p>
                      </a:txBody>
                      <a:useSpRect/>
                    </a:txSp>
                  </a:sp>
                  <a:cxnSp>
                    <a:nvCxnSpPr>
                      <a:cNvPr id="141" name="Straight Arrow Connector 140"/>
                      <a:cNvCxnSpPr/>
                    </a:nvCxnSpPr>
                    <a:spPr>
                      <a:xfrm>
                        <a:off x="152400" y="6477000"/>
                        <a:ext cx="457200"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42" name="Straight Arrow Connector 141"/>
                      <a:cNvCxnSpPr/>
                    </a:nvCxnSpPr>
                    <a:spPr>
                      <a:xfrm flipV="1">
                        <a:off x="152400" y="5867400"/>
                        <a:ext cx="0" cy="6096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43" name="TextBox 142"/>
                      <a:cNvSpPr txBox="1"/>
                    </a:nvSpPr>
                    <a:spPr>
                      <a:xfrm>
                        <a:off x="576590" y="6400800"/>
                        <a:ext cx="2455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t</a:t>
                          </a:r>
                          <a:endParaRPr lang="en-GB" sz="1400" dirty="0"/>
                        </a:p>
                      </a:txBody>
                      <a:useSpRect/>
                    </a:txSp>
                  </a:sp>
                  <a:sp>
                    <a:nvSpPr>
                      <a:cNvPr id="144" name="TextBox 143"/>
                      <a:cNvSpPr txBox="1"/>
                    </a:nvSpPr>
                    <a:spPr>
                      <a:xfrm>
                        <a:off x="-76200" y="5715000"/>
                        <a:ext cx="2391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f</a:t>
                          </a:r>
                          <a:endParaRPr lang="en-GB" sz="1400" dirty="0"/>
                        </a:p>
                      </a:txBody>
                      <a:useSpRect/>
                    </a:txSp>
                  </a:sp>
                  <a:sp>
                    <a:nvSpPr>
                      <a:cNvPr id="145" name="Right Brace 144"/>
                      <a:cNvSpPr/>
                    </a:nvSpPr>
                    <a:spPr>
                      <a:xfrm rot="16200000">
                        <a:off x="1371600" y="-914400"/>
                        <a:ext cx="304800" cy="1219200"/>
                      </a:xfrm>
                      <a:prstGeom prst="rightBrace">
                        <a:avLst/>
                      </a:prstGeom>
                      <a:ln>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46" name="TextBox 145"/>
                      <a:cNvSpPr txBox="1"/>
                    </a:nvSpPr>
                    <a:spPr>
                      <a:xfrm>
                        <a:off x="685800" y="-1103531"/>
                        <a:ext cx="179677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RB duration of </a:t>
                          </a:r>
                        </a:p>
                        <a:p>
                          <a:r>
                            <a:rPr lang="sv-SE" dirty="0" smtClean="0"/>
                            <a:t>numerology M=1</a:t>
                          </a:r>
                          <a:endParaRPr lang="en-GB" dirty="0"/>
                        </a:p>
                      </a:txBody>
                      <a:useSpRect/>
                    </a:txSp>
                  </a:sp>
                  <a:sp>
                    <a:nvSpPr>
                      <a:cNvPr id="79" name="Rectangle 78"/>
                      <a:cNvSpPr/>
                    </a:nvSpPr>
                    <a:spPr>
                      <a:xfrm>
                        <a:off x="1219200" y="1828800"/>
                        <a:ext cx="304800" cy="18288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1524000" y="1828800"/>
                        <a:ext cx="304800" cy="18288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1828800" y="1828800"/>
                        <a:ext cx="304800" cy="18288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9144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12192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15240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1828800" y="4191000"/>
                        <a:ext cx="304800" cy="1828800"/>
                      </a:xfrm>
                      <a:prstGeom prst="rect">
                        <a:avLst/>
                      </a:prstGeom>
                      <a:noFill/>
                      <a:ln>
                        <a:solidFill>
                          <a:schemeClr val="tx1"/>
                        </a:solidFill>
                        <a:prstDash val="sysDot"/>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1219200" y="4191000"/>
                        <a:ext cx="304800" cy="18288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1524000" y="4191000"/>
                        <a:ext cx="304800" cy="18288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Rectangle 88"/>
                      <a:cNvSpPr/>
                    </a:nvSpPr>
                    <a:spPr>
                      <a:xfrm>
                        <a:off x="1828800" y="4191000"/>
                        <a:ext cx="304800" cy="1828800"/>
                      </a:xfrm>
                      <a:prstGeom prst="rect">
                        <a:avLst/>
                      </a:prstGeom>
                      <a:solidFill>
                        <a:srgbClr val="00B0F0">
                          <a:alpha val="68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515D6" w:rsidRDefault="00A515D6" w:rsidP="00A515D6">
      <w:pPr>
        <w:pStyle w:val="Caption"/>
      </w:pPr>
      <w:bookmarkStart w:id="9" w:name="_Ref450593666"/>
      <w:r>
        <w:t xml:space="preserve">Figure </w:t>
      </w:r>
      <w:fldSimple w:instr=" SEQ Figure \* ARABIC ">
        <w:r w:rsidR="00F610CA">
          <w:rPr>
            <w:noProof/>
          </w:rPr>
          <w:t>5</w:t>
        </w:r>
      </w:fldSimple>
      <w:bookmarkEnd w:id="9"/>
      <w:r>
        <w:t xml:space="preserve"> - Example resource allocation when numerologies M=1 (red) and M=4 (blue) are mixed. </w:t>
      </w:r>
      <w:r w:rsidR="00AA2D50">
        <w:t>The RB-width for M=1</w:t>
      </w:r>
      <w:r>
        <w:t xml:space="preserve"> is configured with K/L=4, which results in equal RB-width for </w:t>
      </w:r>
      <w:r w:rsidR="00AA2D50">
        <w:t>the M=1 and M=4 numerologies</w:t>
      </w:r>
      <w:r>
        <w:t>.</w:t>
      </w:r>
    </w:p>
    <w:p w:rsidR="007F3EF2" w:rsidRDefault="00360683" w:rsidP="00921D45">
      <w:pPr>
        <w:adjustRightInd/>
        <w:snapToGrid w:val="0"/>
        <w:spacing w:afterLines="50" w:line="276" w:lineRule="auto"/>
        <w:jc w:val="both"/>
        <w:rPr>
          <w:szCs w:val="20"/>
        </w:rPr>
      </w:pPr>
      <w:r>
        <w:rPr>
          <w:szCs w:val="20"/>
        </w:rPr>
        <w:t>Note that</w:t>
      </w:r>
      <w:r w:rsidR="007E267A">
        <w:rPr>
          <w:szCs w:val="20"/>
        </w:rPr>
        <w:t xml:space="preserve"> in general</w:t>
      </w:r>
      <w:r>
        <w:rPr>
          <w:szCs w:val="20"/>
        </w:rPr>
        <w:t xml:space="preserve"> it</w:t>
      </w:r>
      <w:r w:rsidR="007E267A">
        <w:rPr>
          <w:szCs w:val="20"/>
        </w:rPr>
        <w:t xml:space="preserve"> should</w:t>
      </w:r>
      <w:r>
        <w:rPr>
          <w:szCs w:val="20"/>
        </w:rPr>
        <w:t xml:space="preserve"> not </w:t>
      </w:r>
      <w:r w:rsidR="007E267A">
        <w:rPr>
          <w:szCs w:val="20"/>
        </w:rPr>
        <w:t xml:space="preserve">be </w:t>
      </w:r>
      <w:r>
        <w:rPr>
          <w:szCs w:val="20"/>
        </w:rPr>
        <w:t>required that K</w:t>
      </w:r>
      <w:r w:rsidR="007D3894">
        <w:rPr>
          <w:szCs w:val="20"/>
        </w:rPr>
        <w:t>/L</w:t>
      </w:r>
      <w:r>
        <w:rPr>
          <w:szCs w:val="20"/>
        </w:rPr>
        <w:t xml:space="preserve"> </w:t>
      </w:r>
      <w:r w:rsidR="007D3894">
        <w:rPr>
          <w:szCs w:val="20"/>
        </w:rPr>
        <w:t>is</w:t>
      </w:r>
      <w:r>
        <w:rPr>
          <w:szCs w:val="20"/>
        </w:rPr>
        <w:t xml:space="preserve"> selected so that the resulting RB size corresponds to a numerology that is actually used. The users of a numerology do not need to know which other numerologies that are in use.</w:t>
      </w:r>
    </w:p>
    <w:p w:rsidR="00772D0C" w:rsidRDefault="00360683" w:rsidP="00921D45">
      <w:pPr>
        <w:adjustRightInd/>
        <w:snapToGrid w:val="0"/>
        <w:spacing w:afterLines="50" w:line="276" w:lineRule="auto"/>
        <w:jc w:val="both"/>
        <w:rPr>
          <w:szCs w:val="20"/>
        </w:rPr>
      </w:pPr>
      <w:r>
        <w:rPr>
          <w:szCs w:val="20"/>
        </w:rPr>
        <w:t>For various combinations of K</w:t>
      </w:r>
      <w:r w:rsidR="007D3894">
        <w:rPr>
          <w:szCs w:val="20"/>
        </w:rPr>
        <w:t>/L</w:t>
      </w:r>
      <w:r>
        <w:rPr>
          <w:szCs w:val="20"/>
        </w:rPr>
        <w:t xml:space="preserve"> and </w:t>
      </w:r>
      <w:r w:rsidR="00AA2D50">
        <w:rPr>
          <w:szCs w:val="20"/>
        </w:rPr>
        <w:t xml:space="preserve">a contiguous block of </w:t>
      </w:r>
      <w:r>
        <w:rPr>
          <w:szCs w:val="20"/>
        </w:rPr>
        <w:t>allocated RBs</w:t>
      </w:r>
      <w:r w:rsidR="00AA2D50">
        <w:rPr>
          <w:szCs w:val="20"/>
        </w:rPr>
        <w:t xml:space="preserve"> </w:t>
      </w:r>
      <w:r w:rsidR="00FC4E76">
        <w:rPr>
          <w:szCs w:val="20"/>
        </w:rPr>
        <w:t>(</w:t>
      </w:r>
      <w:r w:rsidR="00C81BB1">
        <w:rPr>
          <w:szCs w:val="20"/>
        </w:rPr>
        <w:t xml:space="preserve">being </w:t>
      </w:r>
      <w:r w:rsidR="00FC4E76">
        <w:rPr>
          <w:szCs w:val="20"/>
        </w:rPr>
        <w:t xml:space="preserve">defined using </w:t>
      </w:r>
      <w:r w:rsidR="00AE052F">
        <w:rPr>
          <w:szCs w:val="20"/>
        </w:rPr>
        <w:t>the reconfigured RB-width</w:t>
      </w:r>
      <w:r w:rsidR="00FC4E76">
        <w:rPr>
          <w:szCs w:val="20"/>
        </w:rPr>
        <w:t>)</w:t>
      </w:r>
      <w:r>
        <w:rPr>
          <w:szCs w:val="20"/>
        </w:rPr>
        <w:t xml:space="preserve">, </w:t>
      </w:r>
      <w:r w:rsidR="00AA2D50">
        <w:rPr>
          <w:szCs w:val="20"/>
        </w:rPr>
        <w:t xml:space="preserve">the resulting edge subcarriers </w:t>
      </w:r>
      <w:r w:rsidR="00FC4E76">
        <w:rPr>
          <w:szCs w:val="20"/>
        </w:rPr>
        <w:t>may be cut in a fraction of a subcarrier</w:t>
      </w:r>
      <w:r w:rsidR="00AA2D50">
        <w:rPr>
          <w:szCs w:val="20"/>
        </w:rPr>
        <w:t xml:space="preserve">. </w:t>
      </w:r>
      <w:r w:rsidR="006F5508">
        <w:rPr>
          <w:szCs w:val="20"/>
        </w:rPr>
        <w:t xml:space="preserve">How to handle such </w:t>
      </w:r>
      <w:r w:rsidR="00FC4E76">
        <w:rPr>
          <w:szCs w:val="20"/>
        </w:rPr>
        <w:t xml:space="preserve">edge </w:t>
      </w:r>
      <w:r w:rsidR="006F5508">
        <w:rPr>
          <w:szCs w:val="20"/>
        </w:rPr>
        <w:t xml:space="preserve">truncation needs to be defined. </w:t>
      </w:r>
      <w:r w:rsidR="00772D0C">
        <w:rPr>
          <w:szCs w:val="20"/>
        </w:rPr>
        <w:t xml:space="preserve">For instance, </w:t>
      </w:r>
      <w:r w:rsidR="00AA2D50">
        <w:rPr>
          <w:szCs w:val="20"/>
        </w:rPr>
        <w:t xml:space="preserve">any fractions of </w:t>
      </w:r>
      <w:r w:rsidR="00772D0C">
        <w:rPr>
          <w:szCs w:val="20"/>
        </w:rPr>
        <w:t>subcarriers</w:t>
      </w:r>
      <w:r w:rsidR="00AA2D50">
        <w:rPr>
          <w:szCs w:val="20"/>
        </w:rPr>
        <w:t xml:space="preserve"> at the edges of a contiguous block of RB c</w:t>
      </w:r>
      <w:r w:rsidR="007E267A">
        <w:rPr>
          <w:szCs w:val="20"/>
        </w:rPr>
        <w:t>ould be</w:t>
      </w:r>
      <w:r w:rsidR="00772D0C">
        <w:rPr>
          <w:szCs w:val="20"/>
        </w:rPr>
        <w:t xml:space="preserve"> </w:t>
      </w:r>
      <w:r w:rsidR="00AA2D50">
        <w:rPr>
          <w:szCs w:val="20"/>
        </w:rPr>
        <w:t>left unused</w:t>
      </w:r>
      <w:r w:rsidR="00AE052F">
        <w:rPr>
          <w:szCs w:val="20"/>
        </w:rPr>
        <w:t xml:space="preserve">. This is illustrated in </w:t>
      </w:r>
      <w:r w:rsidR="0022597F">
        <w:rPr>
          <w:szCs w:val="20"/>
        </w:rPr>
        <w:fldChar w:fldCharType="begin"/>
      </w:r>
      <w:r w:rsidR="00AE052F">
        <w:rPr>
          <w:szCs w:val="20"/>
        </w:rPr>
        <w:instrText xml:space="preserve"> REF _Ref450595616 \h </w:instrText>
      </w:r>
      <w:r w:rsidR="0022597F">
        <w:rPr>
          <w:szCs w:val="20"/>
        </w:rPr>
      </w:r>
      <w:r w:rsidR="0022597F">
        <w:rPr>
          <w:szCs w:val="20"/>
        </w:rPr>
        <w:fldChar w:fldCharType="separate"/>
      </w:r>
      <w:r w:rsidR="00F610CA">
        <w:t xml:space="preserve">Figure </w:t>
      </w:r>
      <w:r w:rsidR="00F610CA">
        <w:rPr>
          <w:noProof/>
        </w:rPr>
        <w:t>6</w:t>
      </w:r>
      <w:r w:rsidR="0022597F">
        <w:rPr>
          <w:szCs w:val="20"/>
        </w:rPr>
        <w:fldChar w:fldCharType="end"/>
      </w:r>
      <w:r w:rsidR="00772D0C">
        <w:rPr>
          <w:szCs w:val="20"/>
        </w:rPr>
        <w:t>.</w:t>
      </w:r>
      <w:r w:rsidR="00AA2D50">
        <w:rPr>
          <w:szCs w:val="20"/>
        </w:rPr>
        <w:t xml:space="preserve"> Since anyway additional guard subcarriers are likely to be needed between numerologies, the loss from such truncation seems relatively minor.</w:t>
      </w:r>
      <w:r w:rsidR="00AE052F">
        <w:rPr>
          <w:szCs w:val="20"/>
        </w:rPr>
        <w:t xml:space="preserve"> </w:t>
      </w:r>
    </w:p>
    <w:p w:rsidR="00AE052F" w:rsidRDefault="00C81BB1" w:rsidP="00921D45">
      <w:pPr>
        <w:adjustRightInd/>
        <w:snapToGrid w:val="0"/>
        <w:spacing w:afterLines="50" w:line="276" w:lineRule="auto"/>
        <w:jc w:val="center"/>
        <w:rPr>
          <w:szCs w:val="20"/>
        </w:rPr>
      </w:pPr>
      <w:r w:rsidRPr="00C81BB1">
        <w:rPr>
          <w:noProof/>
          <w:szCs w:val="20"/>
          <w:lang w:val="en-GB" w:eastAsia="en-GB"/>
        </w:rPr>
        <w:lastRenderedPageBreak/>
        <w:drawing>
          <wp:inline distT="0" distB="0" distL="0" distR="0">
            <wp:extent cx="2528515" cy="3355450"/>
            <wp:effectExtent l="0" t="0" r="5135" b="0"/>
            <wp:docPr id="40" name="Object 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67200" cy="5971400"/>
                      <a:chOff x="228600" y="457201"/>
                      <a:chExt cx="4267200" cy="5971400"/>
                    </a:xfrm>
                  </a:grpSpPr>
                  <a:sp>
                    <a:nvSpPr>
                      <a:cNvPr id="80" name="Flowchart: Delay 79"/>
                      <a:cNvSpPr/>
                    </a:nvSpPr>
                    <a:spPr>
                      <a:xfrm rot="16200000">
                        <a:off x="-247650" y="93345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Flowchart: Delay 80"/>
                      <a:cNvSpPr/>
                    </a:nvSpPr>
                    <a:spPr>
                      <a:xfrm rot="16200000">
                        <a:off x="133350" y="933453"/>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Flowchart: Delay 81"/>
                      <a:cNvSpPr/>
                    </a:nvSpPr>
                    <a:spPr>
                      <a:xfrm rot="16200000">
                        <a:off x="514350" y="93345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Flowchart: Delay 82"/>
                      <a:cNvSpPr/>
                    </a:nvSpPr>
                    <a:spPr>
                      <a:xfrm rot="16200000">
                        <a:off x="895350" y="933453"/>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Flowchart: Delay 91"/>
                      <a:cNvSpPr/>
                    </a:nvSpPr>
                    <a:spPr>
                      <a:xfrm rot="16200000">
                        <a:off x="2114550" y="933451"/>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Flowchart: Delay 92"/>
                      <a:cNvSpPr/>
                    </a:nvSpPr>
                    <a:spPr>
                      <a:xfrm rot="16200000">
                        <a:off x="2495550" y="93345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Flowchart: Delay 93"/>
                      <a:cNvSpPr/>
                    </a:nvSpPr>
                    <a:spPr>
                      <a:xfrm rot="16200000">
                        <a:off x="2876550" y="933451"/>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Flowchart: Delay 94"/>
                      <a:cNvSpPr/>
                    </a:nvSpPr>
                    <a:spPr>
                      <a:xfrm rot="16200000">
                        <a:off x="3257550" y="93345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TextBox 95"/>
                      <a:cNvSpPr txBox="1"/>
                    </a:nvSpPr>
                    <a:spPr>
                      <a:xfrm>
                        <a:off x="1844968" y="762002"/>
                        <a:ext cx="593432" cy="70788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4000" b="1" dirty="0" smtClean="0"/>
                            <a:t>...</a:t>
                          </a:r>
                          <a:endParaRPr lang="en-GB" sz="4000" b="1" dirty="0"/>
                        </a:p>
                      </a:txBody>
                      <a:useSpRect/>
                    </a:txSp>
                  </a:sp>
                  <a:cxnSp>
                    <a:nvCxnSpPr>
                      <a:cNvPr id="98" name="Straight Arrow Connector 97"/>
                      <a:cNvCxnSpPr/>
                    </a:nvCxnSpPr>
                    <a:spPr>
                      <a:xfrm>
                        <a:off x="228600" y="2438400"/>
                        <a:ext cx="3886200" cy="0"/>
                      </a:xfrm>
                      <a:prstGeom prst="straightConnector1">
                        <a:avLst/>
                      </a:prstGeom>
                      <a:ln w="25400">
                        <a:solidFill>
                          <a:schemeClr val="tx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sp>
                    <a:nvSpPr>
                      <a:cNvPr id="99" name="TextBox 98"/>
                      <a:cNvSpPr txBox="1"/>
                    </a:nvSpPr>
                    <a:spPr>
                      <a:xfrm>
                        <a:off x="911386" y="2514600"/>
                        <a:ext cx="267733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dirty="0" smtClean="0"/>
                            <a:t>(a)</a:t>
                          </a:r>
                        </a:p>
                        <a:p>
                          <a:r>
                            <a:rPr lang="sv-SE" dirty="0" smtClean="0"/>
                            <a:t>Nominal </a:t>
                          </a:r>
                          <a:r>
                            <a:rPr lang="sv-SE" dirty="0" smtClean="0"/>
                            <a:t>RB-width (K/L=1) </a:t>
                          </a:r>
                          <a:endParaRPr lang="en-GB" dirty="0"/>
                        </a:p>
                      </a:txBody>
                      <a:useSpRect/>
                    </a:txSp>
                  </a:sp>
                  <a:cxnSp>
                    <a:nvCxnSpPr>
                      <a:cNvPr id="103" name="Straight Connector 102"/>
                      <a:cNvCxnSpPr/>
                    </a:nvCxnSpPr>
                    <a:spPr>
                      <a:xfrm>
                        <a:off x="4114800" y="1752600"/>
                        <a:ext cx="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228600" y="1752600"/>
                        <a:ext cx="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14" name="Flowchart: Delay 113"/>
                      <a:cNvSpPr/>
                    </a:nvSpPr>
                    <a:spPr>
                      <a:xfrm rot="16200000">
                        <a:off x="-247650" y="4201122"/>
                        <a:ext cx="1333500" cy="381000"/>
                      </a:xfrm>
                      <a:prstGeom prst="flowChartDelay">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Flowchart: Delay 114"/>
                      <a:cNvSpPr/>
                    </a:nvSpPr>
                    <a:spPr>
                      <a:xfrm rot="16200000">
                        <a:off x="133350" y="4201123"/>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Flowchart: Delay 115"/>
                      <a:cNvSpPr/>
                    </a:nvSpPr>
                    <a:spPr>
                      <a:xfrm rot="16200000">
                        <a:off x="514350" y="420112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Flowchart: Delay 116"/>
                      <a:cNvSpPr/>
                    </a:nvSpPr>
                    <a:spPr>
                      <a:xfrm rot="16200000">
                        <a:off x="895350" y="4201123"/>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Flowchart: Delay 117"/>
                      <a:cNvSpPr/>
                    </a:nvSpPr>
                    <a:spPr>
                      <a:xfrm rot="16200000">
                        <a:off x="2114550" y="4201121"/>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Flowchart: Delay 118"/>
                      <a:cNvSpPr/>
                    </a:nvSpPr>
                    <a:spPr>
                      <a:xfrm rot="16200000">
                        <a:off x="2495550" y="420112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Flowchart: Delay 119"/>
                      <a:cNvSpPr/>
                    </a:nvSpPr>
                    <a:spPr>
                      <a:xfrm rot="16200000">
                        <a:off x="2876550" y="4201121"/>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Flowchart: Delay 120"/>
                      <a:cNvSpPr/>
                    </a:nvSpPr>
                    <a:spPr>
                      <a:xfrm rot="16200000">
                        <a:off x="3257550" y="4201122"/>
                        <a:ext cx="1333500" cy="3810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TextBox 121"/>
                      <a:cNvSpPr txBox="1"/>
                    </a:nvSpPr>
                    <a:spPr>
                      <a:xfrm>
                        <a:off x="1844968" y="4029672"/>
                        <a:ext cx="593432" cy="70788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4000" b="1" dirty="0" smtClean="0"/>
                            <a:t>...</a:t>
                          </a:r>
                          <a:endParaRPr lang="en-GB" sz="4000" b="1" dirty="0"/>
                        </a:p>
                      </a:txBody>
                      <a:useSpRect/>
                    </a:txSp>
                  </a:sp>
                  <a:cxnSp>
                    <a:nvCxnSpPr>
                      <a:cNvPr id="123" name="Straight Arrow Connector 122"/>
                      <a:cNvCxnSpPr/>
                    </a:nvCxnSpPr>
                    <a:spPr>
                      <a:xfrm>
                        <a:off x="381000" y="5706070"/>
                        <a:ext cx="4038600" cy="8930"/>
                      </a:xfrm>
                      <a:prstGeom prst="straightConnector1">
                        <a:avLst/>
                      </a:prstGeom>
                      <a:ln w="25400">
                        <a:solidFill>
                          <a:schemeClr val="tx1"/>
                        </a:solidFill>
                        <a:headEnd type="triangle" w="lg" len="lg"/>
                        <a:tailEnd type="triangle" w="lg" len="lg"/>
                      </a:ln>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816271" y="5782270"/>
                        <a:ext cx="3127075"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dirty="0" smtClean="0"/>
                            <a:t>(b)</a:t>
                          </a:r>
                        </a:p>
                        <a:p>
                          <a:r>
                            <a:rPr lang="sv-SE" dirty="0" smtClean="0"/>
                            <a:t>Reconfigured </a:t>
                          </a:r>
                          <a:r>
                            <a:rPr lang="sv-SE" dirty="0" smtClean="0"/>
                            <a:t>RB-width (K/L≠1) </a:t>
                          </a:r>
                          <a:endParaRPr lang="en-GB" dirty="0"/>
                        </a:p>
                      </a:txBody>
                      <a:useSpRect/>
                    </a:txSp>
                  </a:sp>
                  <a:cxnSp>
                    <a:nvCxnSpPr>
                      <a:cNvPr id="125" name="Straight Connector 124"/>
                      <a:cNvCxnSpPr/>
                    </a:nvCxnSpPr>
                    <a:spPr>
                      <a:xfrm>
                        <a:off x="4419600" y="5020270"/>
                        <a:ext cx="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6" name="Straight Connector 125"/>
                      <a:cNvCxnSpPr/>
                    </a:nvCxnSpPr>
                    <a:spPr>
                      <a:xfrm>
                        <a:off x="381000" y="5020270"/>
                        <a:ext cx="0" cy="990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31" name="Flowchart: Delay 130"/>
                      <a:cNvSpPr/>
                    </a:nvSpPr>
                    <a:spPr>
                      <a:xfrm rot="16200000">
                        <a:off x="3638550" y="4210051"/>
                        <a:ext cx="1333500" cy="381000"/>
                      </a:xfrm>
                      <a:prstGeom prst="flowChartDelay">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AE052F" w:rsidRDefault="00AE052F" w:rsidP="00AE052F">
      <w:pPr>
        <w:pStyle w:val="Caption"/>
      </w:pPr>
      <w:bookmarkStart w:id="10" w:name="_Ref450595616"/>
      <w:r>
        <w:t xml:space="preserve">Figure </w:t>
      </w:r>
      <w:fldSimple w:instr=" SEQ Figure \* ARABIC ">
        <w:r w:rsidR="00F610CA">
          <w:rPr>
            <w:noProof/>
          </w:rPr>
          <w:t>6</w:t>
        </w:r>
      </w:fldSimple>
      <w:bookmarkEnd w:id="10"/>
      <w:r>
        <w:t xml:space="preserve"> – With some combinations of K/L and allocated RBs (</w:t>
      </w:r>
      <w:r w:rsidR="00FB7DA0">
        <w:t xml:space="preserve">allocated RBs </w:t>
      </w:r>
      <w:r>
        <w:t>defined using the configured RB-width), the edges of the allocated band have fractions of a subcarrier. These may be truncated and included in the guard-band.</w:t>
      </w:r>
    </w:p>
    <w:p w:rsidR="00FB7DA0" w:rsidRDefault="00FB7DA0" w:rsidP="00921D45">
      <w:pPr>
        <w:adjustRightInd/>
        <w:snapToGrid w:val="0"/>
        <w:spacing w:afterLines="50" w:line="276" w:lineRule="auto"/>
        <w:jc w:val="both"/>
        <w:rPr>
          <w:szCs w:val="20"/>
        </w:rPr>
      </w:pPr>
      <w:r>
        <w:rPr>
          <w:szCs w:val="20"/>
        </w:rPr>
        <w:t xml:space="preserve">For example, consider a numerology with subcarrier spacing </w:t>
      </w:r>
      <w:r>
        <w:rPr>
          <w:rFonts w:ascii="Cambria Math" w:hAnsi="Cambria Math"/>
          <w:szCs w:val="20"/>
        </w:rPr>
        <w:t>∆</w:t>
      </w:r>
      <w:r w:rsidR="00FC4E76">
        <w:rPr>
          <w:szCs w:val="20"/>
        </w:rPr>
        <w:t xml:space="preserve">f=17.07 kHz configured with </w:t>
      </w:r>
      <w:r>
        <w:rPr>
          <w:szCs w:val="20"/>
        </w:rPr>
        <w:t xml:space="preserve">K/L=225/256. With this configuration, the configured RBs would match </w:t>
      </w:r>
      <w:r w:rsidR="00FC4E76">
        <w:rPr>
          <w:szCs w:val="20"/>
        </w:rPr>
        <w:t xml:space="preserve">the </w:t>
      </w:r>
      <w:r>
        <w:rPr>
          <w:szCs w:val="20"/>
        </w:rPr>
        <w:t>LTE RBs</w:t>
      </w:r>
      <w:r w:rsidR="00FC4E76">
        <w:rPr>
          <w:szCs w:val="20"/>
        </w:rPr>
        <w:t xml:space="preserve">, which are 180 kHz wide (assuming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RB</m:t>
            </m:r>
          </m:sub>
          <m:sup>
            <m:r>
              <w:rPr>
                <w:rFonts w:ascii="Cambria Math" w:hAnsi="Cambria Math"/>
                <w:szCs w:val="20"/>
              </w:rPr>
              <m:t>sc</m:t>
            </m:r>
          </m:sup>
        </m:sSubSup>
      </m:oMath>
      <w:r w:rsidR="00FC4E76">
        <w:rPr>
          <w:szCs w:val="20"/>
        </w:rPr>
        <w:t>=12)</w:t>
      </w:r>
      <w:r>
        <w:rPr>
          <w:szCs w:val="20"/>
        </w:rPr>
        <w:t xml:space="preserve">. However, a block of allocated LTE RBs would typically have fractions of 17.07 kHz subcarriers at the edges, which would be truncated away. </w:t>
      </w:r>
      <w:r w:rsidR="00FC4E76">
        <w:rPr>
          <w:szCs w:val="20"/>
        </w:rPr>
        <w:t>Again n</w:t>
      </w:r>
      <w:r>
        <w:rPr>
          <w:szCs w:val="20"/>
        </w:rPr>
        <w:t xml:space="preserve">ote that such a removed fraction of a subcarrier would add to the guard-band to the adjacent numerology. </w:t>
      </w:r>
      <w:r w:rsidR="00FC4E76">
        <w:rPr>
          <w:szCs w:val="20"/>
        </w:rPr>
        <w:t>Even so</w:t>
      </w:r>
      <w:r>
        <w:rPr>
          <w:szCs w:val="20"/>
        </w:rPr>
        <w:t xml:space="preserve">, such a configuration would enable dynamic scheduling of a numerology like </w:t>
      </w:r>
      <w:r>
        <w:rPr>
          <w:rFonts w:ascii="Cambria Math" w:hAnsi="Cambria Math"/>
          <w:szCs w:val="20"/>
        </w:rPr>
        <w:t>∆</w:t>
      </w:r>
      <w:r>
        <w:rPr>
          <w:szCs w:val="20"/>
        </w:rPr>
        <w:t>f=17.07 kHz</w:t>
      </w:r>
      <w:r w:rsidR="00FC4E76">
        <w:rPr>
          <w:szCs w:val="20"/>
        </w:rPr>
        <w:t xml:space="preserve"> into</w:t>
      </w:r>
      <w:r>
        <w:rPr>
          <w:szCs w:val="20"/>
        </w:rPr>
        <w:t xml:space="preserve"> an LTE carrier with 180 kHz RBs. </w:t>
      </w:r>
    </w:p>
    <w:p w:rsidR="00842222" w:rsidRDefault="00842222" w:rsidP="00842222">
      <w:pPr>
        <w:pStyle w:val="Caption"/>
      </w:pPr>
      <w:bookmarkStart w:id="11" w:name="_Ref450692883"/>
      <w:r>
        <w:t xml:space="preserve">Observation </w:t>
      </w:r>
      <w:fldSimple w:instr=" SEQ Observation \* ARABIC ">
        <w:r w:rsidR="00F610CA">
          <w:rPr>
            <w:noProof/>
          </w:rPr>
          <w:t>1</w:t>
        </w:r>
      </w:fldSimple>
      <w:r>
        <w:t xml:space="preserve"> – The 17.07 kHz numerology can employ LTE RB (180 kHz) based resource allocation, with K/L = 225/256.</w:t>
      </w:r>
      <w:bookmarkEnd w:id="11"/>
    </w:p>
    <w:p w:rsidR="00DE0E7D" w:rsidRDefault="00DE0E7D" w:rsidP="00921D45">
      <w:pPr>
        <w:adjustRightInd/>
        <w:snapToGrid w:val="0"/>
        <w:spacing w:afterLines="50" w:line="276" w:lineRule="auto"/>
        <w:jc w:val="both"/>
        <w:rPr>
          <w:szCs w:val="20"/>
        </w:rPr>
      </w:pPr>
      <w:r>
        <w:rPr>
          <w:szCs w:val="20"/>
        </w:rPr>
        <w:t xml:space="preserve">As a concrete example, consider </w:t>
      </w:r>
      <w:r w:rsidR="0022597F">
        <w:rPr>
          <w:szCs w:val="20"/>
        </w:rPr>
        <w:fldChar w:fldCharType="begin"/>
      </w:r>
      <w:r>
        <w:rPr>
          <w:szCs w:val="20"/>
        </w:rPr>
        <w:instrText xml:space="preserve"> REF _Ref450691795 \h </w:instrText>
      </w:r>
      <w:r w:rsidR="0022597F">
        <w:rPr>
          <w:szCs w:val="20"/>
        </w:rPr>
      </w:r>
      <w:r w:rsidR="0022597F">
        <w:rPr>
          <w:szCs w:val="20"/>
        </w:rPr>
        <w:fldChar w:fldCharType="separate"/>
      </w:r>
      <w:r w:rsidR="00F610CA">
        <w:t xml:space="preserve">Figure </w:t>
      </w:r>
      <w:r w:rsidR="00F610CA">
        <w:rPr>
          <w:noProof/>
        </w:rPr>
        <w:t>7</w:t>
      </w:r>
      <w:r w:rsidR="0022597F">
        <w:rPr>
          <w:szCs w:val="20"/>
        </w:rPr>
        <w:fldChar w:fldCharType="end"/>
      </w:r>
      <w:r>
        <w:rPr>
          <w:szCs w:val="20"/>
        </w:rPr>
        <w:t xml:space="preserve">, where the </w:t>
      </w:r>
      <w:r>
        <w:rPr>
          <w:rFonts w:ascii="Cambria Math" w:hAnsi="Cambria Math"/>
          <w:szCs w:val="20"/>
        </w:rPr>
        <w:t>∆</w:t>
      </w:r>
      <w:r>
        <w:rPr>
          <w:szCs w:val="20"/>
        </w:rPr>
        <w:t xml:space="preserve">f=17.07 kHz numerology has been configured with K/L=225/256. </w:t>
      </w:r>
      <w:r w:rsidR="00C97311">
        <w:rPr>
          <w:szCs w:val="20"/>
        </w:rPr>
        <w:t>In one subframe, t</w:t>
      </w:r>
      <w:r>
        <w:rPr>
          <w:szCs w:val="20"/>
        </w:rPr>
        <w:t xml:space="preserve">he LTE RBs 1 to 3 are </w:t>
      </w:r>
      <w:r w:rsidR="00C97311">
        <w:rPr>
          <w:szCs w:val="20"/>
        </w:rPr>
        <w:t xml:space="preserve">dynamically </w:t>
      </w:r>
      <w:r>
        <w:rPr>
          <w:szCs w:val="20"/>
        </w:rPr>
        <w:t xml:space="preserve">allocated to the </w:t>
      </w:r>
      <w:r>
        <w:rPr>
          <w:rFonts w:ascii="Cambria Math" w:hAnsi="Cambria Math"/>
          <w:szCs w:val="20"/>
        </w:rPr>
        <w:t>∆</w:t>
      </w:r>
      <w:r>
        <w:rPr>
          <w:szCs w:val="20"/>
        </w:rPr>
        <w:t>f=17.07 kHz numerology</w:t>
      </w:r>
      <w:r w:rsidR="00C97311">
        <w:rPr>
          <w:szCs w:val="20"/>
        </w:rPr>
        <w:t>. This would correspond to subcarriers 12 to 42, depending on the truncation and guard subcarrier configuration.</w:t>
      </w:r>
      <w:r>
        <w:rPr>
          <w:szCs w:val="20"/>
        </w:rPr>
        <w:t xml:space="preserve"> </w:t>
      </w:r>
    </w:p>
    <w:p w:rsidR="00DE0E7D" w:rsidRDefault="00C97311" w:rsidP="00921D45">
      <w:pPr>
        <w:adjustRightInd/>
        <w:snapToGrid w:val="0"/>
        <w:spacing w:afterLines="50" w:line="276" w:lineRule="auto"/>
        <w:jc w:val="both"/>
        <w:rPr>
          <w:szCs w:val="20"/>
        </w:rPr>
      </w:pPr>
      <w:r w:rsidRPr="00C97311">
        <w:rPr>
          <w:noProof/>
          <w:szCs w:val="20"/>
          <w:lang w:val="en-GB" w:eastAsia="en-GB"/>
        </w:rPr>
        <w:lastRenderedPageBreak/>
        <w:drawing>
          <wp:inline distT="0" distB="0" distL="0" distR="0">
            <wp:extent cx="5343277" cy="3156667"/>
            <wp:effectExtent l="0" t="0" r="0" b="0"/>
            <wp:docPr id="33" name="Object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872185" cy="3495020"/>
                      <a:chOff x="-723413" y="-185410"/>
                      <a:chExt cx="5872185" cy="3495020"/>
                    </a:xfrm>
                  </a:grpSpPr>
                  <a:sp>
                    <a:nvSpPr>
                      <a:cNvPr id="80" name="Flowchart: Delay 79"/>
                      <a:cNvSpPr/>
                    </a:nvSpPr>
                    <a:spPr>
                      <a:xfrm rot="16200000">
                        <a:off x="-57151" y="819151"/>
                        <a:ext cx="723902" cy="152400"/>
                      </a:xfrm>
                      <a:prstGeom prst="flowChartDelay">
                        <a:avLst/>
                      </a:prstGeom>
                      <a:noFill/>
                      <a:ln>
                        <a:solidFill>
                          <a:schemeClr val="tx1"/>
                        </a:solidFill>
                      </a:ln>
                    </a:spPr>
                    <a:txSp>
                      <a:txBody>
                        <a:bodyPr vert="horz"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Flowchart: Delay 28"/>
                      <a:cNvSpPr/>
                    </a:nvSpPr>
                    <a:spPr>
                      <a:xfrm rot="16200000">
                        <a:off x="95249" y="819151"/>
                        <a:ext cx="723902" cy="152400"/>
                      </a:xfrm>
                      <a:prstGeom prst="flowChartDelay">
                        <a:avLst/>
                      </a:prstGeom>
                      <a:noFill/>
                      <a:ln>
                        <a:solidFill>
                          <a:schemeClr val="tx1"/>
                        </a:solidFill>
                      </a:ln>
                    </a:spPr>
                    <a:txSp>
                      <a:txBody>
                        <a:bodyPr vert="vert27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Flowchart: Delay 30"/>
                      <a:cNvSpPr/>
                    </a:nvSpPr>
                    <a:spPr>
                      <a:xfrm rot="16200000">
                        <a:off x="552449" y="819151"/>
                        <a:ext cx="723902" cy="1524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Flowchart: Delay 31"/>
                      <a:cNvSpPr/>
                    </a:nvSpPr>
                    <a:spPr>
                      <a:xfrm rot="16200000">
                        <a:off x="704849" y="819151"/>
                        <a:ext cx="723902" cy="1524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12</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TextBox 32"/>
                      <a:cNvSpPr txBox="1"/>
                    </a:nvSpPr>
                    <a:spPr>
                      <a:xfrm>
                        <a:off x="533400" y="728246"/>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34" name="Flowchart: Delay 33"/>
                      <a:cNvSpPr/>
                    </a:nvSpPr>
                    <a:spPr>
                      <a:xfrm rot="16200000">
                        <a:off x="8572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13</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Flowchart: Delay 34"/>
                      <a:cNvSpPr/>
                    </a:nvSpPr>
                    <a:spPr>
                      <a:xfrm rot="16200000">
                        <a:off x="10096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Flowchart: Delay 35"/>
                      <a:cNvSpPr/>
                    </a:nvSpPr>
                    <a:spPr>
                      <a:xfrm rot="16200000">
                        <a:off x="14668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Flowchart: Delay 36"/>
                      <a:cNvSpPr/>
                    </a:nvSpPr>
                    <a:spPr>
                      <a:xfrm rot="16200000">
                        <a:off x="16192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TextBox 37"/>
                      <a:cNvSpPr txBox="1"/>
                    </a:nvSpPr>
                    <a:spPr>
                      <a:xfrm>
                        <a:off x="1447800" y="728247"/>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39" name="Flowchart: Delay 38"/>
                      <a:cNvSpPr/>
                    </a:nvSpPr>
                    <a:spPr>
                      <a:xfrm rot="16200000">
                        <a:off x="17716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Flowchart: Delay 39"/>
                      <a:cNvSpPr/>
                    </a:nvSpPr>
                    <a:spPr>
                      <a:xfrm rot="16200000">
                        <a:off x="19240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Flowchart: Delay 40"/>
                      <a:cNvSpPr/>
                    </a:nvSpPr>
                    <a:spPr>
                      <a:xfrm rot="16200000">
                        <a:off x="23812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Flowchart: Delay 41"/>
                      <a:cNvSpPr/>
                    </a:nvSpPr>
                    <a:spPr>
                      <a:xfrm rot="16200000">
                        <a:off x="2533649"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2362200" y="728247"/>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44" name="Flowchart: Delay 43"/>
                      <a:cNvSpPr/>
                    </a:nvSpPr>
                    <a:spPr>
                      <a:xfrm rot="16200000">
                        <a:off x="2686048"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Flowchart: Delay 44"/>
                      <a:cNvSpPr/>
                    </a:nvSpPr>
                    <a:spPr>
                      <a:xfrm rot="16200000">
                        <a:off x="2838448"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Flowchart: Delay 45"/>
                      <a:cNvSpPr/>
                    </a:nvSpPr>
                    <a:spPr>
                      <a:xfrm rot="16200000">
                        <a:off x="3295648"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Flowchart: Delay 46"/>
                      <a:cNvSpPr/>
                    </a:nvSpPr>
                    <a:spPr>
                      <a:xfrm rot="16200000">
                        <a:off x="3448048" y="819152"/>
                        <a:ext cx="723902" cy="152400"/>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48</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TextBox 47"/>
                      <a:cNvSpPr txBox="1"/>
                    </a:nvSpPr>
                    <a:spPr>
                      <a:xfrm>
                        <a:off x="3276600" y="728247"/>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49" name="Left Brace 48"/>
                      <a:cNvSpPr/>
                    </a:nvSpPr>
                    <a:spPr>
                      <a:xfrm rot="16200000">
                        <a:off x="533400" y="990601"/>
                        <a:ext cx="304800" cy="9144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50" name="Left Brace 49"/>
                      <a:cNvSpPr/>
                    </a:nvSpPr>
                    <a:spPr>
                      <a:xfrm rot="16200000">
                        <a:off x="1447800" y="990600"/>
                        <a:ext cx="304800" cy="9144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51" name="Left Brace 50"/>
                      <a:cNvSpPr/>
                    </a:nvSpPr>
                    <a:spPr>
                      <a:xfrm rot="16200000">
                        <a:off x="2362200" y="990601"/>
                        <a:ext cx="304800" cy="9144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52" name="Left Brace 51"/>
                      <a:cNvSpPr/>
                    </a:nvSpPr>
                    <a:spPr>
                      <a:xfrm rot="16200000">
                        <a:off x="3276600" y="990600"/>
                        <a:ext cx="304800" cy="9144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53" name="TextBox 52"/>
                      <a:cNvSpPr txBox="1"/>
                    </a:nvSpPr>
                    <a:spPr>
                      <a:xfrm>
                        <a:off x="491666" y="1597223"/>
                        <a:ext cx="44275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RB 0</a:t>
                          </a:r>
                          <a:endParaRPr lang="en-GB" sz="1100" dirty="0"/>
                        </a:p>
                      </a:txBody>
                      <a:useSpRect/>
                    </a:txSp>
                  </a:sp>
                  <a:sp>
                    <a:nvSpPr>
                      <a:cNvPr id="54" name="TextBox 53"/>
                      <a:cNvSpPr txBox="1"/>
                    </a:nvSpPr>
                    <a:spPr>
                      <a:xfrm>
                        <a:off x="-591828" y="609600"/>
                        <a:ext cx="671979"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dirty="0" smtClean="0"/>
                            <a:t>LTE</a:t>
                          </a:r>
                        </a:p>
                        <a:p>
                          <a:pPr algn="ctr"/>
                          <a:r>
                            <a:rPr lang="sv-SE" sz="1400" dirty="0" smtClean="0"/>
                            <a:t>15 kHz</a:t>
                          </a:r>
                          <a:endParaRPr lang="en-GB" sz="1400" dirty="0"/>
                        </a:p>
                      </a:txBody>
                      <a:useSpRect/>
                    </a:txSp>
                  </a:sp>
                  <a:sp>
                    <a:nvSpPr>
                      <a:cNvPr id="56" name="TextBox 55"/>
                      <a:cNvSpPr txBox="1"/>
                    </a:nvSpPr>
                    <a:spPr>
                      <a:xfrm>
                        <a:off x="1406064" y="1600200"/>
                        <a:ext cx="44275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RB 1</a:t>
                          </a:r>
                          <a:endParaRPr lang="en-GB" sz="1100" dirty="0"/>
                        </a:p>
                      </a:txBody>
                      <a:useSpRect/>
                    </a:txSp>
                  </a:sp>
                  <a:sp>
                    <a:nvSpPr>
                      <a:cNvPr id="57" name="TextBox 56"/>
                      <a:cNvSpPr txBox="1"/>
                    </a:nvSpPr>
                    <a:spPr>
                      <a:xfrm>
                        <a:off x="2320465" y="1600200"/>
                        <a:ext cx="44275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RB 2</a:t>
                          </a:r>
                          <a:endParaRPr lang="en-GB" sz="1100" dirty="0"/>
                        </a:p>
                      </a:txBody>
                      <a:useSpRect/>
                    </a:txSp>
                  </a:sp>
                  <a:sp>
                    <a:nvSpPr>
                      <a:cNvPr id="58" name="TextBox 57"/>
                      <a:cNvSpPr txBox="1"/>
                    </a:nvSpPr>
                    <a:spPr>
                      <a:xfrm>
                        <a:off x="3234865" y="1600200"/>
                        <a:ext cx="44275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RB 3</a:t>
                          </a:r>
                          <a:endParaRPr lang="en-GB" sz="1100" dirty="0"/>
                        </a:p>
                      </a:txBody>
                      <a:useSpRect/>
                    </a:txSp>
                  </a:sp>
                  <a:sp>
                    <a:nvSpPr>
                      <a:cNvPr id="59" name="Flowchart: Delay 58"/>
                      <a:cNvSpPr/>
                    </a:nvSpPr>
                    <a:spPr>
                      <a:xfrm rot="16200000">
                        <a:off x="-48265" y="2258065"/>
                        <a:ext cx="723902" cy="170172"/>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900" dirty="0" smtClean="0">
                              <a:solidFill>
                                <a:schemeClr val="tx1"/>
                              </a:solidFill>
                            </a:rPr>
                            <a:t>1</a:t>
                          </a:r>
                          <a:endParaRPr lang="en-GB" sz="9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TextBox 62"/>
                      <a:cNvSpPr txBox="1"/>
                    </a:nvSpPr>
                    <a:spPr>
                      <a:xfrm>
                        <a:off x="609600" y="2209800"/>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66" name="TextBox 65"/>
                      <a:cNvSpPr txBox="1"/>
                    </a:nvSpPr>
                    <a:spPr>
                      <a:xfrm>
                        <a:off x="-723413" y="2057400"/>
                        <a:ext cx="899605"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dirty="0" smtClean="0"/>
                            <a:t>Alt 3</a:t>
                          </a:r>
                          <a:endParaRPr lang="sv-SE" sz="1400" dirty="0" smtClean="0"/>
                        </a:p>
                        <a:p>
                          <a:pPr algn="ctr"/>
                          <a:r>
                            <a:rPr lang="sv-SE" sz="1400" dirty="0" smtClean="0"/>
                            <a:t>17.07 kHz</a:t>
                          </a:r>
                          <a:endParaRPr lang="en-GB" sz="1400" dirty="0"/>
                        </a:p>
                      </a:txBody>
                      <a:useSpRect/>
                    </a:txSp>
                  </a:sp>
                  <a:sp>
                    <a:nvSpPr>
                      <a:cNvPr id="67" name="Flowchart: Delay 66"/>
                      <a:cNvSpPr/>
                    </a:nvSpPr>
                    <a:spPr>
                      <a:xfrm rot="16200000">
                        <a:off x="121907" y="2258065"/>
                        <a:ext cx="723902" cy="170172"/>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Flowchart: Delay 69"/>
                      <a:cNvSpPr/>
                    </a:nvSpPr>
                    <a:spPr>
                      <a:xfrm rot="16200000">
                        <a:off x="713736" y="2258065"/>
                        <a:ext cx="723902" cy="170172"/>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11</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Flowchart: Delay 70"/>
                      <a:cNvSpPr/>
                    </a:nvSpPr>
                    <a:spPr>
                      <a:xfrm rot="16200000">
                        <a:off x="883908" y="2258065"/>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12</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Flowchart: Delay 106"/>
                      <a:cNvSpPr/>
                    </a:nvSpPr>
                    <a:spPr>
                      <a:xfrm rot="16200000">
                        <a:off x="3600449" y="819152"/>
                        <a:ext cx="723902" cy="1524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49</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Flowchart: Delay 107"/>
                      <a:cNvSpPr/>
                    </a:nvSpPr>
                    <a:spPr>
                      <a:xfrm rot="16200000">
                        <a:off x="3752849" y="819152"/>
                        <a:ext cx="723902" cy="1524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Flowchart: Delay 108"/>
                      <a:cNvSpPr/>
                    </a:nvSpPr>
                    <a:spPr>
                      <a:xfrm rot="16200000">
                        <a:off x="4210049" y="819152"/>
                        <a:ext cx="723902" cy="1524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Flowchart: Delay 109"/>
                      <a:cNvSpPr/>
                    </a:nvSpPr>
                    <a:spPr>
                      <a:xfrm rot="16200000">
                        <a:off x="4362449" y="819152"/>
                        <a:ext cx="723902" cy="152400"/>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TextBox 110"/>
                      <a:cNvSpPr txBox="1"/>
                    </a:nvSpPr>
                    <a:spPr>
                      <a:xfrm>
                        <a:off x="4191001" y="728247"/>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112" name="Left Brace 111"/>
                      <a:cNvSpPr/>
                    </a:nvSpPr>
                    <a:spPr>
                      <a:xfrm rot="16200000">
                        <a:off x="4191001" y="990600"/>
                        <a:ext cx="304800" cy="9144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13" name="TextBox 112"/>
                      <a:cNvSpPr txBox="1"/>
                    </a:nvSpPr>
                    <a:spPr>
                      <a:xfrm>
                        <a:off x="4129250" y="1600200"/>
                        <a:ext cx="44275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RB 4</a:t>
                          </a:r>
                          <a:endParaRPr lang="en-GB" sz="1100" dirty="0"/>
                        </a:p>
                      </a:txBody>
                      <a:useSpRect/>
                    </a:txSp>
                  </a:sp>
                  <a:sp>
                    <a:nvSpPr>
                      <a:cNvPr id="127" name="TextBox 126"/>
                      <a:cNvSpPr txBox="1"/>
                    </a:nvSpPr>
                    <a:spPr>
                      <a:xfrm>
                        <a:off x="4800600" y="728246"/>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130" name="Flowchart: Delay 129"/>
                      <a:cNvSpPr/>
                    </a:nvSpPr>
                    <a:spPr>
                      <a:xfrm rot="16200000">
                        <a:off x="1059190" y="2258065"/>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13</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TextBox 131"/>
                      <a:cNvSpPr txBox="1"/>
                    </a:nvSpPr>
                    <a:spPr>
                      <a:xfrm>
                        <a:off x="2209800" y="2209800"/>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141" name="Flowchart: Delay 140"/>
                      <a:cNvSpPr/>
                    </a:nvSpPr>
                    <a:spPr>
                      <a:xfrm rot="16200000">
                        <a:off x="3228336" y="2258066"/>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41</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Flowchart: Delay 142"/>
                      <a:cNvSpPr/>
                    </a:nvSpPr>
                    <a:spPr>
                      <a:xfrm rot="16200000">
                        <a:off x="3398508" y="2258066"/>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42</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Flowchart: Delay 153"/>
                      <a:cNvSpPr/>
                    </a:nvSpPr>
                    <a:spPr>
                      <a:xfrm rot="16200000">
                        <a:off x="3568681" y="2258066"/>
                        <a:ext cx="723902" cy="170172"/>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43</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Flowchart: Delay 154"/>
                      <a:cNvSpPr/>
                    </a:nvSpPr>
                    <a:spPr>
                      <a:xfrm rot="16200000">
                        <a:off x="3738853" y="2258066"/>
                        <a:ext cx="723902" cy="170172"/>
                      </a:xfrm>
                      <a:prstGeom prst="flowChartDelay">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44</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TextBox 155"/>
                      <a:cNvSpPr txBox="1"/>
                    </a:nvSpPr>
                    <a:spPr>
                      <a:xfrm>
                        <a:off x="4376228" y="2209800"/>
                        <a:ext cx="34817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b="1" dirty="0" smtClean="0"/>
                            <a:t>...</a:t>
                          </a:r>
                          <a:endParaRPr lang="en-GB" sz="1600" b="1" dirty="0"/>
                        </a:p>
                      </a:txBody>
                      <a:useSpRect/>
                    </a:txSp>
                  </a:sp>
                  <a:sp>
                    <a:nvSpPr>
                      <a:cNvPr id="157" name="Flowchart: Delay 156"/>
                      <a:cNvSpPr/>
                    </a:nvSpPr>
                    <a:spPr>
                      <a:xfrm rot="16200000">
                        <a:off x="2887991" y="2258066"/>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39</a:t>
                          </a:r>
                          <a:endParaRPr lang="sv-SE"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Flowchart: Delay 157"/>
                      <a:cNvSpPr/>
                    </a:nvSpPr>
                    <a:spPr>
                      <a:xfrm rot="16200000">
                        <a:off x="3058163" y="2258066"/>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40</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Flowchart: Delay 163"/>
                      <a:cNvSpPr/>
                    </a:nvSpPr>
                    <a:spPr>
                      <a:xfrm rot="16200000">
                        <a:off x="1229362" y="2258065"/>
                        <a:ext cx="723902" cy="170172"/>
                      </a:xfrm>
                      <a:prstGeom prst="flowChartDelay">
                        <a:avLst/>
                      </a:prstGeom>
                      <a:solidFill>
                        <a:schemeClr val="bg1">
                          <a:lumMod val="85000"/>
                        </a:schemeClr>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000" dirty="0" smtClean="0">
                              <a:solidFill>
                                <a:schemeClr val="tx1"/>
                              </a:solidFill>
                            </a:rPr>
                            <a:t>14</a:t>
                          </a:r>
                          <a:endParaRPr lang="en-GB"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66" name="Straight Connector 165"/>
                      <a:cNvCxnSpPr/>
                    </a:nvCxnSpPr>
                    <a:spPr>
                      <a:xfrm>
                        <a:off x="3886200" y="1447800"/>
                        <a:ext cx="0" cy="60960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68" name="Straight Connector 167"/>
                      <a:cNvCxnSpPr/>
                    </a:nvCxnSpPr>
                    <a:spPr>
                      <a:xfrm>
                        <a:off x="1143000" y="1447800"/>
                        <a:ext cx="0" cy="60960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69" name="Left Brace 168"/>
                      <a:cNvSpPr/>
                    </a:nvSpPr>
                    <a:spPr>
                      <a:xfrm rot="16200000">
                        <a:off x="2362200" y="1600201"/>
                        <a:ext cx="304800" cy="25908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70" name="TextBox 169"/>
                      <a:cNvSpPr txBox="1"/>
                    </a:nvSpPr>
                    <a:spPr>
                      <a:xfrm>
                        <a:off x="1130128" y="3048000"/>
                        <a:ext cx="244971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31 subcarriers (17.07 kHz) =529.07 kHz </a:t>
                          </a:r>
                          <a:endParaRPr lang="sv-SE" sz="1100" dirty="0" smtClean="0"/>
                        </a:p>
                      </a:txBody>
                      <a:useSpRect/>
                    </a:txSp>
                  </a:sp>
                  <a:sp>
                    <a:nvSpPr>
                      <a:cNvPr id="171" name="Left Brace 170"/>
                      <a:cNvSpPr/>
                    </a:nvSpPr>
                    <a:spPr>
                      <a:xfrm rot="5400000">
                        <a:off x="2400300" y="-1104899"/>
                        <a:ext cx="304800" cy="2667000"/>
                      </a:xfrm>
                      <a:prstGeom prst="leftBrace">
                        <a:avLst/>
                      </a:prstGeom>
                      <a:noFill/>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172" name="TextBox 171"/>
                      <a:cNvSpPr txBox="1"/>
                    </a:nvSpPr>
                    <a:spPr>
                      <a:xfrm>
                        <a:off x="1387425" y="-185410"/>
                        <a:ext cx="2090637"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100" dirty="0" smtClean="0"/>
                            <a:t>36 subcarriers (15 kHz) =540 kHz </a:t>
                          </a:r>
                          <a:endParaRPr lang="sv-SE" sz="1100" dirty="0" smtClean="0"/>
                        </a:p>
                      </a:txBody>
                      <a:useSpRect/>
                    </a:txSp>
                  </a:sp>
                </lc:lockedCanvas>
              </a:graphicData>
            </a:graphic>
          </wp:inline>
        </w:drawing>
      </w:r>
    </w:p>
    <w:p w:rsidR="00DE0E7D" w:rsidRDefault="00DE0E7D" w:rsidP="00DE0E7D">
      <w:pPr>
        <w:pStyle w:val="Caption"/>
      </w:pPr>
      <w:bookmarkStart w:id="12" w:name="_Ref450691795"/>
      <w:r>
        <w:t xml:space="preserve">Figure </w:t>
      </w:r>
      <w:fldSimple w:instr=" SEQ Figure \* ARABIC ">
        <w:r w:rsidR="00F610CA">
          <w:rPr>
            <w:noProof/>
          </w:rPr>
          <w:t>7</w:t>
        </w:r>
      </w:fldSimple>
      <w:bookmarkEnd w:id="12"/>
      <w:r>
        <w:t xml:space="preserve"> – Illustration of the numerology with </w:t>
      </w:r>
      <w:r>
        <w:rPr>
          <w:rFonts w:ascii="Cambria Math" w:hAnsi="Cambria Math"/>
        </w:rPr>
        <w:t>∆</w:t>
      </w:r>
      <w:r>
        <w:t>f=17.07 kHz frequency multiplexed into the LTE RB grid. The LTE subcarriers are on the m*15 kHz grid, whereas the Alt 3 subcarriers are on the m*17.07 kHz grid, with m an integer.</w:t>
      </w:r>
      <w:r w:rsidR="00A762D5">
        <w:t xml:space="preserve"> Truncation and guard subcarrier are only needed at the edges of the allocated band.</w:t>
      </w:r>
    </w:p>
    <w:p w:rsidR="00360683" w:rsidRDefault="00FB7DA0" w:rsidP="00921D45">
      <w:pPr>
        <w:adjustRightInd/>
        <w:snapToGrid w:val="0"/>
        <w:spacing w:afterLines="50" w:line="276" w:lineRule="auto"/>
        <w:jc w:val="both"/>
        <w:rPr>
          <w:szCs w:val="20"/>
        </w:rPr>
      </w:pPr>
      <w:r>
        <w:rPr>
          <w:szCs w:val="20"/>
        </w:rPr>
        <w:t>It is important to note that guard-bands between numerologies</w:t>
      </w:r>
      <w:r w:rsidR="00C81BB1">
        <w:rPr>
          <w:szCs w:val="20"/>
        </w:rPr>
        <w:t xml:space="preserve"> due to INI</w:t>
      </w:r>
      <w:r>
        <w:rPr>
          <w:szCs w:val="20"/>
        </w:rPr>
        <w:t xml:space="preserve"> are required even if other numerologies in the 15 kHz family, such as 30 or 60 kHz are multiplexed into an LTE carrier with 15 kHz subcarrier spacing. </w:t>
      </w:r>
    </w:p>
    <w:p w:rsidR="00772D0C" w:rsidRDefault="00FB7DA0" w:rsidP="00921D45">
      <w:pPr>
        <w:adjustRightInd/>
        <w:snapToGrid w:val="0"/>
        <w:spacing w:afterLines="50" w:line="276" w:lineRule="auto"/>
        <w:jc w:val="both"/>
        <w:rPr>
          <w:szCs w:val="20"/>
        </w:rPr>
      </w:pPr>
      <w:r>
        <w:rPr>
          <w:szCs w:val="20"/>
        </w:rPr>
        <w:t>The RB-width configuration</w:t>
      </w:r>
      <w:r w:rsidR="00C81BB1">
        <w:rPr>
          <w:szCs w:val="20"/>
        </w:rPr>
        <w:t xml:space="preserve"> with K/L</w:t>
      </w:r>
      <w:r w:rsidR="00772D0C">
        <w:rPr>
          <w:szCs w:val="20"/>
        </w:rPr>
        <w:t xml:space="preserve"> may be useful also for other purposes than the resource allocation of multiple numerologies. Even if a single numerology is used on a carrier, it may be suitable </w:t>
      </w:r>
      <w:r w:rsidR="007D3894">
        <w:rPr>
          <w:szCs w:val="20"/>
        </w:rPr>
        <w:t xml:space="preserve">to </w:t>
      </w:r>
      <w:r w:rsidR="00772D0C">
        <w:rPr>
          <w:szCs w:val="20"/>
        </w:rPr>
        <w:t>redefine the RB size, for instance</w:t>
      </w:r>
      <w:r w:rsidR="007D3894">
        <w:rPr>
          <w:szCs w:val="20"/>
        </w:rPr>
        <w:t xml:space="preserve"> if the carrier bandwidth is not </w:t>
      </w:r>
      <w:r w:rsidR="008A0730">
        <w:rPr>
          <w:szCs w:val="20"/>
        </w:rPr>
        <w:t>divisible by the nominal RB-width</w:t>
      </w:r>
      <w:r w:rsidR="007E267A">
        <w:rPr>
          <w:szCs w:val="20"/>
        </w:rPr>
        <w:t xml:space="preserve"> of the numerology</w:t>
      </w:r>
      <w:r w:rsidR="007D3894">
        <w:rPr>
          <w:szCs w:val="20"/>
        </w:rPr>
        <w:t xml:space="preserve">. </w:t>
      </w:r>
      <w:r w:rsidR="008A0730">
        <w:rPr>
          <w:szCs w:val="20"/>
        </w:rPr>
        <w:t>In general, by configuring the RB-width</w:t>
      </w:r>
      <w:r w:rsidR="007D3894">
        <w:rPr>
          <w:szCs w:val="20"/>
        </w:rPr>
        <w:t xml:space="preserve"> used in the resource allocation, it is possible to trade off the control overhead with resource allocation flexibility. For ex</w:t>
      </w:r>
      <w:r w:rsidR="008A0730">
        <w:rPr>
          <w:szCs w:val="20"/>
        </w:rPr>
        <w:t>ample, by converting the RB-width</w:t>
      </w:r>
      <w:r w:rsidR="007D3894">
        <w:rPr>
          <w:szCs w:val="20"/>
        </w:rPr>
        <w:t xml:space="preserve"> to the whole carrier band</w:t>
      </w:r>
      <w:r w:rsidR="002B40F3">
        <w:rPr>
          <w:szCs w:val="20"/>
        </w:rPr>
        <w:t>width</w:t>
      </w:r>
      <w:r w:rsidR="008A0730">
        <w:rPr>
          <w:szCs w:val="20"/>
        </w:rPr>
        <w:t xml:space="preserve"> (K/L = N</w:t>
      </w:r>
      <w:r w:rsidR="008A0730" w:rsidRPr="008A0730">
        <w:rPr>
          <w:szCs w:val="20"/>
          <w:vertAlign w:val="subscript"/>
        </w:rPr>
        <w:t>RB_M</w:t>
      </w:r>
      <w:r w:rsidR="008A0730">
        <w:rPr>
          <w:szCs w:val="20"/>
        </w:rPr>
        <w:t>)</w:t>
      </w:r>
      <w:r w:rsidR="002B40F3">
        <w:rPr>
          <w:szCs w:val="20"/>
        </w:rPr>
        <w:t>, the scheduling is transformed into TDMA</w:t>
      </w:r>
      <w:r w:rsidR="007E267A">
        <w:rPr>
          <w:szCs w:val="20"/>
        </w:rPr>
        <w:t xml:space="preserve"> with lower control overhead</w:t>
      </w:r>
      <w:r w:rsidR="002B40F3">
        <w:rPr>
          <w:szCs w:val="20"/>
        </w:rPr>
        <w:t>.</w:t>
      </w:r>
      <w:r w:rsidR="008A0730">
        <w:rPr>
          <w:szCs w:val="20"/>
        </w:rPr>
        <w:t xml:space="preserve"> On the other extreme, RB-width equal to a subcarrier can be configured (K/L = 1/</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RB</m:t>
            </m:r>
          </m:sub>
          <m:sup>
            <m:r>
              <w:rPr>
                <w:rFonts w:ascii="Cambria Math" w:hAnsi="Cambria Math"/>
                <w:szCs w:val="20"/>
              </w:rPr>
              <m:t>sc</m:t>
            </m:r>
          </m:sup>
        </m:sSubSup>
      </m:oMath>
      <w:r w:rsidR="008A0730">
        <w:rPr>
          <w:szCs w:val="20"/>
        </w:rPr>
        <w:t>).</w:t>
      </w:r>
      <w:r w:rsidR="00A93646">
        <w:rPr>
          <w:szCs w:val="20"/>
        </w:rPr>
        <w:t xml:space="preserve"> It is also important to note that if subframe aggregation is used in the time-domain, then correspondingly increased resource allocation granularity in the frequency domain does not increase the overall overhead, since the resource allocation is sent less often.</w:t>
      </w:r>
    </w:p>
    <w:p w:rsidR="00842222" w:rsidRDefault="00842222" w:rsidP="00842222">
      <w:pPr>
        <w:pStyle w:val="Caption"/>
      </w:pPr>
      <w:bookmarkStart w:id="13" w:name="_Ref450692892"/>
      <w:r>
        <w:t xml:space="preserve">Observation </w:t>
      </w:r>
      <w:fldSimple w:instr=" SEQ Observation \* ARABIC ">
        <w:r w:rsidR="00F610CA">
          <w:rPr>
            <w:noProof/>
          </w:rPr>
          <w:t>2</w:t>
        </w:r>
      </w:fldSimple>
      <w:r>
        <w:t xml:space="preserve"> – RB-width configuration </w:t>
      </w:r>
      <w:r w:rsidR="00DE0E7D">
        <w:t>can be used to</w:t>
      </w:r>
      <w:r>
        <w:t xml:space="preserve"> adapt </w:t>
      </w:r>
      <w:r w:rsidR="00C81BB1">
        <w:t>RB-width to carrier bandwidth</w:t>
      </w:r>
      <w:r>
        <w:t>.</w:t>
      </w:r>
      <w:bookmarkEnd w:id="13"/>
    </w:p>
    <w:p w:rsidR="00C81BB1" w:rsidRPr="00C81BB1" w:rsidRDefault="00C81BB1" w:rsidP="00C81BB1">
      <w:pPr>
        <w:pStyle w:val="Caption"/>
      </w:pPr>
      <w:bookmarkStart w:id="14" w:name="_Ref450833060"/>
      <w:r>
        <w:t xml:space="preserve">Observation </w:t>
      </w:r>
      <w:fldSimple w:instr=" SEQ Observation \* ARABIC ">
        <w:r w:rsidR="00F610CA">
          <w:rPr>
            <w:noProof/>
          </w:rPr>
          <w:t>3</w:t>
        </w:r>
      </w:fldSimple>
      <w:r>
        <w:t xml:space="preserve"> – RB-width configuration can be used to adapt resource allocation control overhead.</w:t>
      </w:r>
      <w:bookmarkEnd w:id="14"/>
    </w:p>
    <w:p w:rsidR="008A0730" w:rsidRDefault="008A0730" w:rsidP="008A0730">
      <w:pPr>
        <w:numPr>
          <w:ilvl w:val="0"/>
          <w:numId w:val="1"/>
        </w:numPr>
        <w:ind w:left="357" w:hanging="357"/>
        <w:rPr>
          <w:b/>
          <w:sz w:val="30"/>
          <w:szCs w:val="30"/>
        </w:rPr>
      </w:pPr>
      <w:r>
        <w:rPr>
          <w:b/>
          <w:sz w:val="30"/>
          <w:szCs w:val="30"/>
        </w:rPr>
        <w:t>Discussion on Co-existence with LTE and NB-</w:t>
      </w:r>
      <w:proofErr w:type="spellStart"/>
      <w:r>
        <w:rPr>
          <w:b/>
          <w:sz w:val="30"/>
          <w:szCs w:val="30"/>
        </w:rPr>
        <w:t>IoT</w:t>
      </w:r>
      <w:proofErr w:type="spellEnd"/>
    </w:p>
    <w:p w:rsidR="00F00FAE" w:rsidRDefault="008A0730" w:rsidP="00921D45">
      <w:pPr>
        <w:adjustRightInd/>
        <w:snapToGrid w:val="0"/>
        <w:spacing w:afterLines="50" w:line="276" w:lineRule="auto"/>
        <w:jc w:val="both"/>
        <w:rPr>
          <w:szCs w:val="20"/>
        </w:rPr>
      </w:pPr>
      <w:r>
        <w:rPr>
          <w:szCs w:val="20"/>
        </w:rPr>
        <w:t>Following the proposed approach with RB-width configuration, it is</w:t>
      </w:r>
      <w:r w:rsidR="00676281">
        <w:rPr>
          <w:szCs w:val="20"/>
        </w:rPr>
        <w:t xml:space="preserve"> possible</w:t>
      </w:r>
      <w:r>
        <w:rPr>
          <w:szCs w:val="20"/>
        </w:rPr>
        <w:t xml:space="preserve"> to allocate LTE RBs to many different numerologies, including such with subcarrier spacing 17.07 kHz</w:t>
      </w:r>
      <w:r w:rsidR="00676281">
        <w:rPr>
          <w:szCs w:val="20"/>
        </w:rPr>
        <w:t xml:space="preserve"> or 17.5 kHz</w:t>
      </w:r>
      <w:r>
        <w:rPr>
          <w:szCs w:val="20"/>
        </w:rPr>
        <w:t xml:space="preserve">. </w:t>
      </w:r>
      <w:r w:rsidR="00FC4E76">
        <w:rPr>
          <w:szCs w:val="20"/>
        </w:rPr>
        <w:t xml:space="preserve">This makes it possible to dynamically schedule such numerologies into an LTE carrier. A guard-band is </w:t>
      </w:r>
      <w:r w:rsidR="00620555">
        <w:rPr>
          <w:szCs w:val="20"/>
        </w:rPr>
        <w:t xml:space="preserve">typically </w:t>
      </w:r>
      <w:r w:rsidR="00FC4E76">
        <w:rPr>
          <w:szCs w:val="20"/>
        </w:rPr>
        <w:t xml:space="preserve">required, except if only the 15 kHz numerology </w:t>
      </w:r>
      <w:r w:rsidR="001C3DF5">
        <w:rPr>
          <w:szCs w:val="20"/>
        </w:rPr>
        <w:t xml:space="preserve">with the same CP duration as the LTE RB (NCP or ECP) </w:t>
      </w:r>
      <w:r w:rsidR="00FC4E76">
        <w:rPr>
          <w:szCs w:val="20"/>
        </w:rPr>
        <w:t xml:space="preserve">is used for NR. </w:t>
      </w:r>
      <w:r w:rsidR="00F00FAE">
        <w:rPr>
          <w:szCs w:val="20"/>
        </w:rPr>
        <w:t>Note that a guard-band is needed in the following cases:</w:t>
      </w:r>
    </w:p>
    <w:p w:rsidR="00F00FAE" w:rsidRDefault="00F00FAE" w:rsidP="00921D45">
      <w:pPr>
        <w:pStyle w:val="ListParagraph"/>
        <w:numPr>
          <w:ilvl w:val="0"/>
          <w:numId w:val="25"/>
        </w:numPr>
        <w:adjustRightInd/>
        <w:snapToGrid w:val="0"/>
        <w:spacing w:afterLines="50" w:line="276" w:lineRule="auto"/>
        <w:ind w:firstLineChars="0"/>
        <w:jc w:val="both"/>
        <w:rPr>
          <w:szCs w:val="20"/>
        </w:rPr>
      </w:pPr>
      <w:r>
        <w:rPr>
          <w:szCs w:val="20"/>
        </w:rPr>
        <w:t>15 kHz LTE/NB-</w:t>
      </w:r>
      <w:proofErr w:type="spellStart"/>
      <w:r>
        <w:rPr>
          <w:szCs w:val="20"/>
        </w:rPr>
        <w:t>IoT</w:t>
      </w:r>
      <w:proofErr w:type="spellEnd"/>
      <w:r>
        <w:rPr>
          <w:szCs w:val="20"/>
        </w:rPr>
        <w:t xml:space="preserve"> RB</w:t>
      </w:r>
      <w:r w:rsidR="00620555">
        <w:rPr>
          <w:szCs w:val="20"/>
        </w:rPr>
        <w:t>s</w:t>
      </w:r>
      <w:r>
        <w:rPr>
          <w:szCs w:val="20"/>
        </w:rPr>
        <w:t xml:space="preserve"> (NCP) and adjacent 15 kHz NR RB</w:t>
      </w:r>
      <w:r w:rsidR="00620555">
        <w:rPr>
          <w:szCs w:val="20"/>
        </w:rPr>
        <w:t>s</w:t>
      </w:r>
      <w:r>
        <w:rPr>
          <w:szCs w:val="20"/>
        </w:rPr>
        <w:t xml:space="preserve"> (ECP)</w:t>
      </w:r>
    </w:p>
    <w:p w:rsidR="00F00FAE" w:rsidRDefault="00F00FAE" w:rsidP="00921D45">
      <w:pPr>
        <w:pStyle w:val="ListParagraph"/>
        <w:numPr>
          <w:ilvl w:val="0"/>
          <w:numId w:val="25"/>
        </w:numPr>
        <w:adjustRightInd/>
        <w:snapToGrid w:val="0"/>
        <w:spacing w:afterLines="50" w:line="276" w:lineRule="auto"/>
        <w:ind w:firstLineChars="0"/>
        <w:jc w:val="both"/>
        <w:rPr>
          <w:szCs w:val="20"/>
        </w:rPr>
      </w:pPr>
      <w:r>
        <w:rPr>
          <w:szCs w:val="20"/>
        </w:rPr>
        <w:t>15 kHz LTE/NB-</w:t>
      </w:r>
      <w:proofErr w:type="spellStart"/>
      <w:r>
        <w:rPr>
          <w:szCs w:val="20"/>
        </w:rPr>
        <w:t>IoT</w:t>
      </w:r>
      <w:proofErr w:type="spellEnd"/>
      <w:r>
        <w:rPr>
          <w:szCs w:val="20"/>
        </w:rPr>
        <w:t xml:space="preserve"> RB</w:t>
      </w:r>
      <w:r w:rsidR="00620555">
        <w:rPr>
          <w:szCs w:val="20"/>
        </w:rPr>
        <w:t>s</w:t>
      </w:r>
      <w:r>
        <w:rPr>
          <w:szCs w:val="20"/>
        </w:rPr>
        <w:t xml:space="preserve"> (NCP) and adjacent 30 kHz NR RB</w:t>
      </w:r>
      <w:r w:rsidR="00620555">
        <w:rPr>
          <w:szCs w:val="20"/>
        </w:rPr>
        <w:t>s</w:t>
      </w:r>
      <w:r>
        <w:rPr>
          <w:szCs w:val="20"/>
        </w:rPr>
        <w:t xml:space="preserve"> (NCP)</w:t>
      </w:r>
    </w:p>
    <w:p w:rsidR="00620555" w:rsidRDefault="00620555" w:rsidP="00921D45">
      <w:pPr>
        <w:pStyle w:val="ListParagraph"/>
        <w:numPr>
          <w:ilvl w:val="0"/>
          <w:numId w:val="25"/>
        </w:numPr>
        <w:adjustRightInd/>
        <w:snapToGrid w:val="0"/>
        <w:spacing w:afterLines="50" w:line="276" w:lineRule="auto"/>
        <w:ind w:firstLineChars="0"/>
        <w:jc w:val="both"/>
        <w:rPr>
          <w:szCs w:val="20"/>
        </w:rPr>
      </w:pPr>
      <w:r>
        <w:rPr>
          <w:szCs w:val="20"/>
        </w:rPr>
        <w:t>15 kHz LTE/NB-</w:t>
      </w:r>
      <w:proofErr w:type="spellStart"/>
      <w:r>
        <w:rPr>
          <w:szCs w:val="20"/>
        </w:rPr>
        <w:t>IoT</w:t>
      </w:r>
      <w:proofErr w:type="spellEnd"/>
      <w:r>
        <w:rPr>
          <w:szCs w:val="20"/>
        </w:rPr>
        <w:t xml:space="preserve"> RBs (ECP) and adjacent 15 kHz NR RBs (NCP)</w:t>
      </w:r>
    </w:p>
    <w:p w:rsidR="00F00FAE" w:rsidRDefault="00F00FAE" w:rsidP="00921D45">
      <w:pPr>
        <w:pStyle w:val="ListParagraph"/>
        <w:numPr>
          <w:ilvl w:val="0"/>
          <w:numId w:val="25"/>
        </w:numPr>
        <w:adjustRightInd/>
        <w:snapToGrid w:val="0"/>
        <w:spacing w:afterLines="50" w:line="276" w:lineRule="auto"/>
        <w:ind w:firstLineChars="0"/>
        <w:jc w:val="both"/>
        <w:rPr>
          <w:szCs w:val="20"/>
        </w:rPr>
      </w:pPr>
      <w:r>
        <w:rPr>
          <w:szCs w:val="20"/>
        </w:rPr>
        <w:lastRenderedPageBreak/>
        <w:t>15 kHz LTE/NB-</w:t>
      </w:r>
      <w:proofErr w:type="spellStart"/>
      <w:r>
        <w:rPr>
          <w:szCs w:val="20"/>
        </w:rPr>
        <w:t>IoT</w:t>
      </w:r>
      <w:proofErr w:type="spellEnd"/>
      <w:r>
        <w:rPr>
          <w:szCs w:val="20"/>
        </w:rPr>
        <w:t xml:space="preserve"> RB</w:t>
      </w:r>
      <w:r w:rsidR="00620555">
        <w:rPr>
          <w:szCs w:val="20"/>
        </w:rPr>
        <w:t>s</w:t>
      </w:r>
      <w:r>
        <w:rPr>
          <w:szCs w:val="20"/>
        </w:rPr>
        <w:t xml:space="preserve"> (ECP) and adjacent 30 kHz NR RB</w:t>
      </w:r>
      <w:r w:rsidR="00620555">
        <w:rPr>
          <w:szCs w:val="20"/>
        </w:rPr>
        <w:t>s</w:t>
      </w:r>
      <w:r>
        <w:rPr>
          <w:szCs w:val="20"/>
        </w:rPr>
        <w:t xml:space="preserve"> (ECP)</w:t>
      </w:r>
    </w:p>
    <w:p w:rsidR="00F00FAE" w:rsidRPr="00F00FAE" w:rsidRDefault="00F00FAE" w:rsidP="00921D45">
      <w:pPr>
        <w:pStyle w:val="ListParagraph"/>
        <w:numPr>
          <w:ilvl w:val="0"/>
          <w:numId w:val="25"/>
        </w:numPr>
        <w:adjustRightInd/>
        <w:snapToGrid w:val="0"/>
        <w:spacing w:afterLines="50" w:line="276" w:lineRule="auto"/>
        <w:ind w:firstLineChars="0"/>
        <w:jc w:val="both"/>
        <w:rPr>
          <w:szCs w:val="20"/>
        </w:rPr>
      </w:pPr>
      <w:r>
        <w:rPr>
          <w:szCs w:val="20"/>
        </w:rPr>
        <w:t>3.75 kHz NB-</w:t>
      </w:r>
      <w:proofErr w:type="spellStart"/>
      <w:r>
        <w:rPr>
          <w:szCs w:val="20"/>
        </w:rPr>
        <w:t>IoT</w:t>
      </w:r>
      <w:proofErr w:type="spellEnd"/>
      <w:r>
        <w:rPr>
          <w:szCs w:val="20"/>
        </w:rPr>
        <w:t xml:space="preserve"> </w:t>
      </w:r>
      <w:r w:rsidR="00620555">
        <w:rPr>
          <w:szCs w:val="20"/>
        </w:rPr>
        <w:t xml:space="preserve">RBs </w:t>
      </w:r>
      <w:r>
        <w:rPr>
          <w:szCs w:val="20"/>
        </w:rPr>
        <w:t>(NCP) and adjacent 15 kHz NR RB</w:t>
      </w:r>
      <w:r w:rsidR="00620555">
        <w:rPr>
          <w:szCs w:val="20"/>
        </w:rPr>
        <w:t>s</w:t>
      </w:r>
      <w:r>
        <w:rPr>
          <w:szCs w:val="20"/>
        </w:rPr>
        <w:t xml:space="preserve"> (NCP)</w:t>
      </w:r>
    </w:p>
    <w:p w:rsidR="008A0730" w:rsidRDefault="00FC4E76" w:rsidP="00921D45">
      <w:pPr>
        <w:adjustRightInd/>
        <w:snapToGrid w:val="0"/>
        <w:spacing w:afterLines="50" w:line="276" w:lineRule="auto"/>
        <w:jc w:val="both"/>
        <w:rPr>
          <w:szCs w:val="20"/>
        </w:rPr>
      </w:pPr>
      <w:r>
        <w:rPr>
          <w:szCs w:val="20"/>
        </w:rPr>
        <w:t>Even if the NR RBs next to the LTE RBs</w:t>
      </w:r>
      <w:r w:rsidR="00180466">
        <w:rPr>
          <w:szCs w:val="20"/>
        </w:rPr>
        <w:t xml:space="preserve"> use 15 kHz</w:t>
      </w:r>
      <w:r w:rsidR="00F00FAE">
        <w:rPr>
          <w:szCs w:val="20"/>
        </w:rPr>
        <w:t xml:space="preserve"> and the same CP</w:t>
      </w:r>
      <w:r>
        <w:rPr>
          <w:szCs w:val="20"/>
        </w:rPr>
        <w:t xml:space="preserve"> so that a guard-band is not needed, </w:t>
      </w:r>
      <w:r w:rsidR="00180466">
        <w:rPr>
          <w:szCs w:val="20"/>
        </w:rPr>
        <w:t xml:space="preserve">a guard-band is still needed if any other NR numerology (e.g. 30 kHz) is used next to the 15 kHz NR RBs. </w:t>
      </w:r>
      <w:r w:rsidR="009B2AA7">
        <w:rPr>
          <w:szCs w:val="20"/>
        </w:rPr>
        <w:t xml:space="preserve">This is illustrated in </w:t>
      </w:r>
      <w:r w:rsidR="0022597F">
        <w:rPr>
          <w:szCs w:val="20"/>
        </w:rPr>
        <w:fldChar w:fldCharType="begin"/>
      </w:r>
      <w:r w:rsidR="009B2AA7">
        <w:rPr>
          <w:szCs w:val="20"/>
        </w:rPr>
        <w:instrText xml:space="preserve"> REF _Ref450598416 \h </w:instrText>
      </w:r>
      <w:r w:rsidR="0022597F">
        <w:rPr>
          <w:szCs w:val="20"/>
        </w:rPr>
      </w:r>
      <w:r w:rsidR="0022597F">
        <w:rPr>
          <w:szCs w:val="20"/>
        </w:rPr>
        <w:fldChar w:fldCharType="separate"/>
      </w:r>
      <w:r w:rsidR="00F610CA">
        <w:t xml:space="preserve">Figure </w:t>
      </w:r>
      <w:r w:rsidR="00F610CA">
        <w:rPr>
          <w:noProof/>
        </w:rPr>
        <w:t>8</w:t>
      </w:r>
      <w:r w:rsidR="0022597F">
        <w:rPr>
          <w:szCs w:val="20"/>
        </w:rPr>
        <w:fldChar w:fldCharType="end"/>
      </w:r>
      <w:r w:rsidR="009B2AA7">
        <w:rPr>
          <w:szCs w:val="20"/>
        </w:rPr>
        <w:t xml:space="preserve">. </w:t>
      </w:r>
      <w:r w:rsidR="00620555">
        <w:rPr>
          <w:szCs w:val="20"/>
        </w:rPr>
        <w:t xml:space="preserve">In order to avoid non-15 kHz NR numerologies next to the 15 kHz LTE RB, scheduling restrictions may need to be imposed, which </w:t>
      </w:r>
      <w:r w:rsidR="009B2AA7">
        <w:rPr>
          <w:szCs w:val="20"/>
        </w:rPr>
        <w:t>may deteriorate performance. For example, bandwidth limitations to URLLC using higher scaling (M=2 or M=4) may impact latency performance.</w:t>
      </w:r>
    </w:p>
    <w:p w:rsidR="00180466" w:rsidRDefault="00676281" w:rsidP="00921D45">
      <w:pPr>
        <w:adjustRightInd/>
        <w:snapToGrid w:val="0"/>
        <w:spacing w:afterLines="50" w:line="276" w:lineRule="auto"/>
        <w:jc w:val="center"/>
        <w:rPr>
          <w:szCs w:val="20"/>
        </w:rPr>
      </w:pPr>
      <w:r w:rsidRPr="00676281">
        <w:rPr>
          <w:noProof/>
          <w:szCs w:val="20"/>
          <w:lang w:val="en-GB" w:eastAsia="en-GB"/>
        </w:rPr>
        <w:drawing>
          <wp:inline distT="0" distB="0" distL="0" distR="0">
            <wp:extent cx="2846567" cy="3506525"/>
            <wp:effectExtent l="0" t="0" r="0" b="0"/>
            <wp:docPr id="1" name="Object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22570" cy="5108377"/>
                      <a:chOff x="2835430" y="1295400"/>
                      <a:chExt cx="4022570" cy="5108377"/>
                    </a:xfrm>
                  </a:grpSpPr>
                  <a:sp>
                    <a:nvSpPr>
                      <a:cNvPr id="197" name="Rectangle 196"/>
                      <a:cNvSpPr/>
                    </a:nvSpPr>
                    <a:spPr>
                      <a:xfrm>
                        <a:off x="3810000" y="4953000"/>
                        <a:ext cx="1066800" cy="914400"/>
                      </a:xfrm>
                      <a:prstGeom prst="rect">
                        <a:avLst/>
                      </a:prstGeom>
                      <a:solidFill>
                        <a:srgbClr val="92D050"/>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LTE RB</a:t>
                          </a:r>
                        </a:p>
                        <a:p>
                          <a:pPr algn="ctr"/>
                          <a:r>
                            <a:rPr lang="sv-SE" dirty="0" smtClean="0"/>
                            <a:t>(15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TextBox 235"/>
                      <a:cNvSpPr txBox="1"/>
                    </a:nvSpPr>
                    <a:spPr>
                      <a:xfrm>
                        <a:off x="4094705" y="6019800"/>
                        <a:ext cx="407484"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dirty="0" smtClean="0"/>
                            <a:t>(a)</a:t>
                          </a:r>
                        </a:p>
                      </a:txBody>
                      <a:useSpRect/>
                    </a:txSp>
                  </a:sp>
                  <a:sp>
                    <a:nvSpPr>
                      <a:cNvPr id="38" name="Rectangle 37"/>
                      <a:cNvSpPr/>
                    </a:nvSpPr>
                    <a:spPr>
                      <a:xfrm>
                        <a:off x="3810000" y="4038600"/>
                        <a:ext cx="1066800" cy="914400"/>
                      </a:xfrm>
                      <a:prstGeom prst="rect">
                        <a:avLst/>
                      </a:prstGeom>
                      <a:solidFill>
                        <a:srgbClr val="92D050"/>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(15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3810000" y="3124200"/>
                        <a:ext cx="1066800" cy="914400"/>
                      </a:xfrm>
                      <a:prstGeom prst="rect">
                        <a:avLst/>
                      </a:prstGeom>
                      <a:solidFill>
                        <a:srgbClr val="92D050"/>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(15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3810000" y="2209800"/>
                        <a:ext cx="1066800" cy="914400"/>
                      </a:xfrm>
                      <a:prstGeom prst="rect">
                        <a:avLst/>
                      </a:prstGeom>
                      <a:solidFill>
                        <a:srgbClr val="92D050"/>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(30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810000" y="1295400"/>
                        <a:ext cx="1066800" cy="914400"/>
                      </a:xfrm>
                      <a:prstGeom prst="rect">
                        <a:avLst/>
                      </a:prstGeom>
                      <a:solidFill>
                        <a:srgbClr val="92D050"/>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(30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3810000" y="3048000"/>
                        <a:ext cx="1066800" cy="152400"/>
                      </a:xfrm>
                      <a:prstGeom prst="rect">
                        <a:avLst/>
                      </a:prstGeom>
                      <a:solidFill>
                        <a:srgbClr val="C00000">
                          <a:alpha val="50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sv-SE" dirty="0" smtClean="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3" name="Straight Arrow Connector 42"/>
                      <a:cNvCxnSpPr/>
                    </a:nvCxnSpPr>
                    <a:spPr>
                      <a:xfrm>
                        <a:off x="3064030" y="6172200"/>
                        <a:ext cx="457200"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4" name="Straight Arrow Connector 43"/>
                      <a:cNvCxnSpPr/>
                    </a:nvCxnSpPr>
                    <a:spPr>
                      <a:xfrm flipV="1">
                        <a:off x="3064030" y="5562600"/>
                        <a:ext cx="0" cy="6096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45" name="TextBox 44"/>
                      <a:cNvSpPr txBox="1"/>
                    </a:nvSpPr>
                    <a:spPr>
                      <a:xfrm>
                        <a:off x="3488220" y="6096000"/>
                        <a:ext cx="24558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t</a:t>
                          </a:r>
                          <a:endParaRPr lang="en-GB" sz="1400" dirty="0"/>
                        </a:p>
                      </a:txBody>
                      <a:useSpRect/>
                    </a:txSp>
                  </a:sp>
                  <a:sp>
                    <a:nvSpPr>
                      <a:cNvPr id="46" name="TextBox 45"/>
                      <a:cNvSpPr txBox="1"/>
                    </a:nvSpPr>
                    <a:spPr>
                      <a:xfrm>
                        <a:off x="2835430" y="5410200"/>
                        <a:ext cx="2391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f</a:t>
                          </a:r>
                          <a:endParaRPr lang="en-GB" sz="1400" dirty="0"/>
                        </a:p>
                      </a:txBody>
                      <a:useSpRect/>
                    </a:txSp>
                  </a:sp>
                  <a:sp>
                    <a:nvSpPr>
                      <a:cNvPr id="47" name="Rectangle 46"/>
                      <a:cNvSpPr/>
                    </a:nvSpPr>
                    <a:spPr>
                      <a:xfrm>
                        <a:off x="5791200" y="4953000"/>
                        <a:ext cx="1066800" cy="914400"/>
                      </a:xfrm>
                      <a:prstGeom prst="rect">
                        <a:avLst/>
                      </a:prstGeom>
                      <a:solidFill>
                        <a:srgbClr val="92D050"/>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LTE RB</a:t>
                          </a:r>
                        </a:p>
                        <a:p>
                          <a:pPr algn="ctr"/>
                          <a:r>
                            <a:rPr lang="sv-SE" dirty="0" smtClean="0"/>
                            <a:t>(15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TextBox 47"/>
                      <a:cNvSpPr txBox="1"/>
                    </a:nvSpPr>
                    <a:spPr>
                      <a:xfrm>
                        <a:off x="6071096" y="6019800"/>
                        <a:ext cx="417102"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dirty="0" smtClean="0"/>
                            <a:t>(b)</a:t>
                          </a:r>
                        </a:p>
                      </a:txBody>
                      <a:useSpRect/>
                    </a:txSp>
                  </a:sp>
                  <a:sp>
                    <a:nvSpPr>
                      <a:cNvPr id="49" name="Rectangle 48"/>
                      <a:cNvSpPr/>
                    </a:nvSpPr>
                    <a:spPr>
                      <a:xfrm>
                        <a:off x="5791200" y="4038600"/>
                        <a:ext cx="1066800" cy="914400"/>
                      </a:xfrm>
                      <a:prstGeom prst="rect">
                        <a:avLst/>
                      </a:prstGeom>
                      <a:solidFill>
                        <a:srgbClr val="92D050"/>
                      </a:solidFill>
                      <a:ln>
                        <a:solidFill>
                          <a:schemeClr val="tx1"/>
                        </a:solidFill>
                        <a:prstDash val="solid"/>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(17.07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791200" y="3124200"/>
                        <a:ext cx="1066800" cy="914400"/>
                      </a:xfrm>
                      <a:prstGeom prst="rect">
                        <a:avLst/>
                      </a:prstGeom>
                      <a:solidFill>
                        <a:srgbClr val="92D050"/>
                      </a:solidFill>
                      <a:ln>
                        <a:solidFill>
                          <a:schemeClr val="tx1"/>
                        </a:solidFill>
                        <a:prstDash val="solid"/>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(17.07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5791200" y="2209800"/>
                        <a:ext cx="1066800" cy="914400"/>
                      </a:xfrm>
                      <a:prstGeom prst="rect">
                        <a:avLst/>
                      </a:prstGeom>
                      <a:solidFill>
                        <a:srgbClr val="92D050"/>
                      </a:solidFill>
                      <a:ln>
                        <a:solidFill>
                          <a:schemeClr val="tx1"/>
                        </a:solidFill>
                        <a:prstDash val="solid"/>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(34.14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5791200" y="1295400"/>
                        <a:ext cx="1066800" cy="914400"/>
                      </a:xfrm>
                      <a:prstGeom prst="rect">
                        <a:avLst/>
                      </a:prstGeom>
                      <a:solidFill>
                        <a:srgbClr val="92D050"/>
                      </a:solidFill>
                      <a:ln>
                        <a:solidFill>
                          <a:schemeClr val="tx1"/>
                        </a:solidFill>
                        <a:prstDash val="solid"/>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dirty="0" smtClean="0"/>
                            <a:t>NR RB</a:t>
                          </a:r>
                        </a:p>
                        <a:p>
                          <a:pPr algn="ctr"/>
                          <a:r>
                            <a:rPr lang="sv-SE" dirty="0" smtClean="0"/>
                            <a:t>(34.14 kHz)</a:t>
                          </a: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5791200" y="3048000"/>
                        <a:ext cx="1066800" cy="152400"/>
                      </a:xfrm>
                      <a:prstGeom prst="rect">
                        <a:avLst/>
                      </a:prstGeom>
                      <a:solidFill>
                        <a:srgbClr val="C00000">
                          <a:alpha val="50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sv-SE" dirty="0" smtClean="0"/>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5791200" y="4800600"/>
                        <a:ext cx="1066800" cy="152400"/>
                      </a:xfrm>
                      <a:prstGeom prst="rect">
                        <a:avLst/>
                      </a:prstGeom>
                      <a:solidFill>
                        <a:srgbClr val="C00000">
                          <a:alpha val="50000"/>
                        </a:srgbClr>
                      </a:solidFill>
                      <a:ln>
                        <a:solidFill>
                          <a:schemeClr val="tx1"/>
                        </a:solidFill>
                        <a:prstDash val="solid"/>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sv-SE" dirty="0" smtClean="0"/>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842222" w:rsidRDefault="00180466" w:rsidP="00842222">
      <w:pPr>
        <w:pStyle w:val="Caption"/>
      </w:pPr>
      <w:bookmarkStart w:id="15" w:name="_Ref450598416"/>
      <w:r>
        <w:t xml:space="preserve">Figure </w:t>
      </w:r>
      <w:fldSimple w:instr=" SEQ Figure \* ARABIC ">
        <w:r w:rsidR="00F610CA">
          <w:rPr>
            <w:noProof/>
          </w:rPr>
          <w:t>8</w:t>
        </w:r>
      </w:fldSimple>
      <w:bookmarkEnd w:id="15"/>
      <w:r>
        <w:t xml:space="preserve"> – Illustration of co-existence with an LTE RB, for instance NB-</w:t>
      </w:r>
      <w:proofErr w:type="spellStart"/>
      <w:r>
        <w:t>IoT</w:t>
      </w:r>
      <w:proofErr w:type="spellEnd"/>
      <w:r>
        <w:t>.</w:t>
      </w:r>
      <w:r w:rsidR="009B2AA7">
        <w:t xml:space="preserve"> The guard-band to the LTE-RB can be avoided only if the adjacent NR RB always uses 15 kHz, as in (a). </w:t>
      </w:r>
      <w:r w:rsidR="00620555">
        <w:t>However, s</w:t>
      </w:r>
      <w:r w:rsidR="009B2AA7">
        <w:t xml:space="preserve">uch scheduling restrictions may have a negative impact on NR performance. </w:t>
      </w:r>
      <w:r w:rsidR="00BC2EC5">
        <w:t xml:space="preserve">By </w:t>
      </w:r>
      <w:r w:rsidR="00676281">
        <w:t>using</w:t>
      </w:r>
      <w:r w:rsidR="00BC2EC5">
        <w:t xml:space="preserve"> </w:t>
      </w:r>
      <w:r w:rsidR="009B2AA7">
        <w:t>a guard-band between the LTE RB</w:t>
      </w:r>
      <w:r w:rsidR="001C3DF5">
        <w:t xml:space="preserve"> and the NR RBs, as in (b)</w:t>
      </w:r>
      <w:r w:rsidR="009B2AA7">
        <w:t>, unrestr</w:t>
      </w:r>
      <w:r w:rsidR="00B46077">
        <w:t xml:space="preserve">icted scheduling of differently scaled </w:t>
      </w:r>
      <w:r w:rsidR="00791A5D">
        <w:t xml:space="preserve">NR </w:t>
      </w:r>
      <w:r w:rsidR="00B46077">
        <w:t>numerologies is possible.</w:t>
      </w:r>
    </w:p>
    <w:p w:rsidR="00F00FAE" w:rsidRPr="00F00FAE" w:rsidRDefault="00F00FAE" w:rsidP="00F00FAE">
      <w:pPr>
        <w:pStyle w:val="Caption"/>
      </w:pPr>
      <w:bookmarkStart w:id="16" w:name="_Ref450692902"/>
      <w:r>
        <w:t xml:space="preserve">Observation </w:t>
      </w:r>
      <w:fldSimple w:instr=" SEQ Observation \* ARABIC ">
        <w:r w:rsidR="00F610CA">
          <w:rPr>
            <w:noProof/>
          </w:rPr>
          <w:t>4</w:t>
        </w:r>
      </w:fldSimple>
      <w:r>
        <w:t xml:space="preserve"> – Even with an NR numerology based on 15 kHz subcarrier spacing, there are many important cases where a guard-band between NR and LTE/NB-</w:t>
      </w:r>
      <w:proofErr w:type="spellStart"/>
      <w:r>
        <w:t>IoT</w:t>
      </w:r>
      <w:proofErr w:type="spellEnd"/>
      <w:r>
        <w:t xml:space="preserve"> is still needed</w:t>
      </w:r>
      <w:r w:rsidR="00620555">
        <w:t>, such as scaled numerologies</w:t>
      </w:r>
      <w:r>
        <w:t>.</w:t>
      </w:r>
      <w:bookmarkEnd w:id="16"/>
    </w:p>
    <w:p w:rsidR="008A0730" w:rsidRDefault="008A0730" w:rsidP="00AC4AAA">
      <w:pPr>
        <w:numPr>
          <w:ilvl w:val="0"/>
          <w:numId w:val="1"/>
        </w:numPr>
        <w:ind w:left="357" w:hanging="357"/>
        <w:rPr>
          <w:b/>
          <w:sz w:val="30"/>
          <w:szCs w:val="30"/>
        </w:rPr>
      </w:pPr>
      <w:r>
        <w:rPr>
          <w:b/>
          <w:sz w:val="30"/>
          <w:szCs w:val="30"/>
        </w:rPr>
        <w:t xml:space="preserve">Discussion on Forward Compatibility </w:t>
      </w:r>
    </w:p>
    <w:p w:rsidR="00676281" w:rsidRDefault="00676281" w:rsidP="00676281">
      <w:r>
        <w:t xml:space="preserve">Flexible frequency-domain multiplexing of different numerologies is also important for forward compatibility. With the proposed approach with RB-width configuration, initial NR numerologies can be frequency multiplexed with future numerologies, with new and unforeseen RB definitions. Forward compatibility aspects of numerology and frame structure is discussed in more detail in </w:t>
      </w:r>
      <w:r w:rsidR="0022597F">
        <w:fldChar w:fldCharType="begin"/>
      </w:r>
      <w:r w:rsidR="000A2EBC">
        <w:instrText xml:space="preserve"> REF _Ref450688877 \n \h </w:instrText>
      </w:r>
      <w:r w:rsidR="0022597F">
        <w:fldChar w:fldCharType="separate"/>
      </w:r>
      <w:r w:rsidR="00F610CA">
        <w:t>[4]</w:t>
      </w:r>
      <w:r w:rsidR="0022597F">
        <w:fldChar w:fldCharType="end"/>
      </w:r>
      <w:r w:rsidR="000A2EBC">
        <w:t>.</w:t>
      </w:r>
    </w:p>
    <w:p w:rsidR="00AC4AAA" w:rsidRDefault="00A569A4" w:rsidP="00AC4AAA">
      <w:pPr>
        <w:numPr>
          <w:ilvl w:val="0"/>
          <w:numId w:val="1"/>
        </w:numPr>
        <w:ind w:left="357" w:hanging="357"/>
        <w:rPr>
          <w:b/>
          <w:sz w:val="30"/>
          <w:szCs w:val="30"/>
        </w:rPr>
      </w:pPr>
      <w:r>
        <w:rPr>
          <w:b/>
          <w:sz w:val="30"/>
          <w:szCs w:val="30"/>
        </w:rPr>
        <w:t>Conclusions</w:t>
      </w:r>
    </w:p>
    <w:p w:rsidR="00F00FAE" w:rsidRDefault="0022597F" w:rsidP="00AC4AAA">
      <w:pPr>
        <w:pStyle w:val="ListParagraph"/>
        <w:numPr>
          <w:ilvl w:val="0"/>
          <w:numId w:val="26"/>
        </w:numPr>
        <w:ind w:firstLineChars="0"/>
      </w:pPr>
      <w:fldSimple w:instr=" REF _Ref450692872 \h  \* MERGEFORMAT ">
        <w:r w:rsidR="00F610CA" w:rsidRPr="00F610CA">
          <w:rPr>
            <w:b/>
          </w:rPr>
          <w:t xml:space="preserve">Proposal </w:t>
        </w:r>
        <w:r w:rsidR="00F610CA" w:rsidRPr="00F610CA">
          <w:rPr>
            <w:b/>
            <w:noProof/>
          </w:rPr>
          <w:t>1</w:t>
        </w:r>
        <w:r w:rsidR="00F610CA" w:rsidRPr="00F610CA">
          <w:rPr>
            <w:b/>
          </w:rPr>
          <w:t xml:space="preserve"> </w:t>
        </w:r>
        <w:r w:rsidR="00F610CA">
          <w:t>– The RB-width (Hz) for a numerology can be semi-statically configured with a factor K/L, with K and L positive integers, that is multiplied to the nominal RB-width (Hz).</w:t>
        </w:r>
      </w:fldSimple>
    </w:p>
    <w:p w:rsidR="00F00FAE" w:rsidRDefault="0022597F" w:rsidP="00AC4AAA">
      <w:pPr>
        <w:pStyle w:val="ListParagraph"/>
        <w:numPr>
          <w:ilvl w:val="0"/>
          <w:numId w:val="26"/>
        </w:numPr>
        <w:ind w:firstLineChars="0"/>
      </w:pPr>
      <w:fldSimple w:instr=" REF _Ref450692883 \h  \* MERGEFORMAT ">
        <w:r w:rsidR="00F610CA" w:rsidRPr="00F610CA">
          <w:rPr>
            <w:b/>
          </w:rPr>
          <w:t xml:space="preserve">Observation </w:t>
        </w:r>
        <w:r w:rsidR="00F610CA" w:rsidRPr="00F610CA">
          <w:rPr>
            <w:b/>
            <w:noProof/>
          </w:rPr>
          <w:t>1</w:t>
        </w:r>
        <w:r w:rsidR="00F610CA">
          <w:t xml:space="preserve"> – The 17.07 kHz numerology can employ LTE RB (180 kHz) based resource allocation, with K/L = 225/256.</w:t>
        </w:r>
      </w:fldSimple>
    </w:p>
    <w:p w:rsidR="00620555" w:rsidRDefault="0022597F" w:rsidP="00AC4AAA">
      <w:pPr>
        <w:pStyle w:val="ListParagraph"/>
        <w:numPr>
          <w:ilvl w:val="0"/>
          <w:numId w:val="26"/>
        </w:numPr>
        <w:ind w:firstLineChars="0"/>
      </w:pPr>
      <w:fldSimple w:instr=" REF _Ref450692892 \h  \* MERGEFORMAT ">
        <w:r w:rsidR="00F610CA" w:rsidRPr="00F610CA">
          <w:rPr>
            <w:b/>
          </w:rPr>
          <w:t xml:space="preserve">Observation </w:t>
        </w:r>
        <w:r w:rsidR="00F610CA" w:rsidRPr="00F610CA">
          <w:rPr>
            <w:b/>
            <w:noProof/>
          </w:rPr>
          <w:t>2</w:t>
        </w:r>
        <w:r w:rsidR="00F610CA">
          <w:t xml:space="preserve"> – RB-width configuration can be used to adapt RB-width to carrier bandwidth.</w:t>
        </w:r>
      </w:fldSimple>
    </w:p>
    <w:p w:rsidR="00F00FAE" w:rsidRDefault="0022597F" w:rsidP="00AC4AAA">
      <w:pPr>
        <w:pStyle w:val="ListParagraph"/>
        <w:numPr>
          <w:ilvl w:val="0"/>
          <w:numId w:val="26"/>
        </w:numPr>
        <w:ind w:firstLineChars="0"/>
      </w:pPr>
      <w:fldSimple w:instr=" REF _Ref450833060 \h  \* MERGEFORMAT ">
        <w:r w:rsidR="00F610CA" w:rsidRPr="00F610CA">
          <w:rPr>
            <w:b/>
          </w:rPr>
          <w:t xml:space="preserve">Observation </w:t>
        </w:r>
        <w:r w:rsidR="00F610CA" w:rsidRPr="00F610CA">
          <w:rPr>
            <w:b/>
            <w:noProof/>
          </w:rPr>
          <w:t>3</w:t>
        </w:r>
        <w:r w:rsidR="00F610CA">
          <w:t xml:space="preserve"> – RB-width configuration can be used to adapt resource allocation control overhead.</w:t>
        </w:r>
      </w:fldSimple>
    </w:p>
    <w:p w:rsidR="00F00FAE" w:rsidRPr="00AC4AAA" w:rsidRDefault="0022597F" w:rsidP="00AC4AAA">
      <w:pPr>
        <w:pStyle w:val="ListParagraph"/>
        <w:numPr>
          <w:ilvl w:val="0"/>
          <w:numId w:val="26"/>
        </w:numPr>
        <w:ind w:firstLineChars="0"/>
      </w:pPr>
      <w:r>
        <w:fldChar w:fldCharType="begin"/>
      </w:r>
      <w:r w:rsidR="00F00FAE">
        <w:instrText xml:space="preserve"> REF _Ref450692902 \h </w:instrText>
      </w:r>
      <w:r w:rsidR="008A5F17">
        <w:instrText xml:space="preserve"> \* MERGEFORMAT </w:instrText>
      </w:r>
      <w:r>
        <w:fldChar w:fldCharType="separate"/>
      </w:r>
      <w:r w:rsidR="00F610CA" w:rsidRPr="00F610CA">
        <w:rPr>
          <w:b/>
        </w:rPr>
        <w:t xml:space="preserve">Observation </w:t>
      </w:r>
      <w:r w:rsidR="00F610CA" w:rsidRPr="00F610CA">
        <w:rPr>
          <w:b/>
          <w:noProof/>
        </w:rPr>
        <w:t>4</w:t>
      </w:r>
      <w:r w:rsidR="00F610CA">
        <w:t xml:space="preserve"> – Even with an NR numerology based on 15 kHz subcarrier spacing, there are many important cases where a guard-band between NR and LTE/NB-</w:t>
      </w:r>
      <w:proofErr w:type="spellStart"/>
      <w:r w:rsidR="00F610CA">
        <w:t>IoT</w:t>
      </w:r>
      <w:proofErr w:type="spellEnd"/>
      <w:r w:rsidR="00F610CA">
        <w:t xml:space="preserve"> is still needed, such as scaled numerologies.</w:t>
      </w:r>
      <w:r>
        <w:fldChar w:fldCharType="end"/>
      </w:r>
    </w:p>
    <w:p w:rsidR="00A569A4" w:rsidRDefault="00A569A4" w:rsidP="00EA5B9D">
      <w:pPr>
        <w:numPr>
          <w:ilvl w:val="0"/>
          <w:numId w:val="1"/>
        </w:numPr>
        <w:ind w:left="357" w:hanging="357"/>
        <w:rPr>
          <w:b/>
          <w:sz w:val="30"/>
          <w:szCs w:val="30"/>
        </w:rPr>
      </w:pPr>
      <w:r>
        <w:rPr>
          <w:b/>
          <w:sz w:val="30"/>
          <w:szCs w:val="30"/>
        </w:rPr>
        <w:t>References</w:t>
      </w:r>
    </w:p>
    <w:p w:rsidR="00FD6B97" w:rsidRDefault="00991963" w:rsidP="00FD6B97">
      <w:pPr>
        <w:pStyle w:val="ListParagraph"/>
        <w:numPr>
          <w:ilvl w:val="0"/>
          <w:numId w:val="19"/>
        </w:numPr>
        <w:ind w:left="426" w:firstLineChars="0"/>
        <w:rPr>
          <w:iCs/>
          <w:szCs w:val="20"/>
        </w:rPr>
      </w:pPr>
      <w:bookmarkStart w:id="17" w:name="_Ref449620942"/>
      <w:r w:rsidRPr="00FD6B97">
        <w:rPr>
          <w:iCs/>
          <w:szCs w:val="20"/>
        </w:rPr>
        <w:t>Chairman’s notes RAN1#84bis</w:t>
      </w:r>
      <w:bookmarkEnd w:id="17"/>
      <w:r w:rsidR="0062638D">
        <w:rPr>
          <w:iCs/>
          <w:szCs w:val="20"/>
        </w:rPr>
        <w:t>, 2016-04</w:t>
      </w:r>
    </w:p>
    <w:p w:rsidR="0062638D" w:rsidRDefault="0062638D" w:rsidP="00FD6B97">
      <w:pPr>
        <w:pStyle w:val="ListParagraph"/>
        <w:numPr>
          <w:ilvl w:val="0"/>
          <w:numId w:val="19"/>
        </w:numPr>
        <w:ind w:left="426" w:firstLineChars="0"/>
        <w:rPr>
          <w:iCs/>
          <w:szCs w:val="20"/>
        </w:rPr>
      </w:pPr>
      <w:bookmarkStart w:id="18" w:name="_Ref449622718"/>
      <w:r>
        <w:rPr>
          <w:iCs/>
          <w:szCs w:val="20"/>
        </w:rPr>
        <w:t>TR</w:t>
      </w:r>
      <w:r w:rsidRPr="0062638D">
        <w:rPr>
          <w:iCs/>
          <w:szCs w:val="20"/>
        </w:rPr>
        <w:t>38.913, Study on Scenarios and Requirements for Next Gene</w:t>
      </w:r>
      <w:r>
        <w:rPr>
          <w:iCs/>
          <w:szCs w:val="20"/>
        </w:rPr>
        <w:t>ration Access Technologies, V0.3.0, 2016-03</w:t>
      </w:r>
      <w:bookmarkEnd w:id="18"/>
    </w:p>
    <w:p w:rsidR="008339F9" w:rsidRDefault="00676281" w:rsidP="00FD6B97">
      <w:pPr>
        <w:pStyle w:val="ListParagraph"/>
        <w:numPr>
          <w:ilvl w:val="0"/>
          <w:numId w:val="19"/>
        </w:numPr>
        <w:ind w:left="426" w:firstLineChars="0"/>
        <w:rPr>
          <w:iCs/>
          <w:szCs w:val="20"/>
        </w:rPr>
      </w:pPr>
      <w:bookmarkStart w:id="19" w:name="_Ref449623523"/>
      <w:r>
        <w:rPr>
          <w:iCs/>
          <w:szCs w:val="20"/>
        </w:rPr>
        <w:t>R1-164274</w:t>
      </w:r>
      <w:r w:rsidR="008339F9">
        <w:rPr>
          <w:iCs/>
          <w:szCs w:val="20"/>
        </w:rPr>
        <w:t>, Frame structure</w:t>
      </w:r>
      <w:r>
        <w:rPr>
          <w:iCs/>
          <w:szCs w:val="20"/>
        </w:rPr>
        <w:t xml:space="preserve"> for NR</w:t>
      </w:r>
      <w:r w:rsidR="008339F9">
        <w:rPr>
          <w:iCs/>
          <w:szCs w:val="20"/>
        </w:rPr>
        <w:t>, ZTE, May 2016</w:t>
      </w:r>
      <w:bookmarkEnd w:id="19"/>
    </w:p>
    <w:p w:rsidR="00676281" w:rsidRPr="00FD6B97" w:rsidRDefault="00676281" w:rsidP="00FD6B97">
      <w:pPr>
        <w:pStyle w:val="ListParagraph"/>
        <w:numPr>
          <w:ilvl w:val="0"/>
          <w:numId w:val="19"/>
        </w:numPr>
        <w:ind w:left="426" w:firstLineChars="0"/>
        <w:rPr>
          <w:iCs/>
          <w:szCs w:val="20"/>
        </w:rPr>
      </w:pPr>
      <w:bookmarkStart w:id="20" w:name="_Ref450688877"/>
      <w:r>
        <w:rPr>
          <w:iCs/>
          <w:szCs w:val="20"/>
        </w:rPr>
        <w:t xml:space="preserve">R1-164261, </w:t>
      </w:r>
      <w:r w:rsidRPr="00676281">
        <w:rPr>
          <w:iCs/>
          <w:szCs w:val="20"/>
        </w:rPr>
        <w:t>Forward compatibility of numerology and frame structure design</w:t>
      </w:r>
      <w:r>
        <w:rPr>
          <w:iCs/>
          <w:szCs w:val="20"/>
        </w:rPr>
        <w:t>, ZTE, May 2016</w:t>
      </w:r>
      <w:bookmarkEnd w:id="20"/>
    </w:p>
    <w:p w:rsidR="00391673" w:rsidRPr="00391673" w:rsidRDefault="00391673" w:rsidP="00A569A4">
      <w:pPr>
        <w:rPr>
          <w:iCs/>
        </w:rPr>
      </w:pPr>
    </w:p>
    <w:sectPr w:rsidR="00391673" w:rsidRPr="00391673"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8B4" w:rsidRDefault="001318B4" w:rsidP="00FF0AAD">
      <w:r>
        <w:separator/>
      </w:r>
    </w:p>
  </w:endnote>
  <w:endnote w:type="continuationSeparator" w:id="0">
    <w:p w:rsidR="001318B4" w:rsidRDefault="001318B4"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22597F">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8B4" w:rsidRDefault="001318B4" w:rsidP="00FF0AAD">
      <w:r>
        <w:separator/>
      </w:r>
    </w:p>
  </w:footnote>
  <w:footnote w:type="continuationSeparator" w:id="0">
    <w:p w:rsidR="001318B4" w:rsidRDefault="001318B4"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367D"/>
    <w:multiLevelType w:val="hybridMultilevel"/>
    <w:tmpl w:val="94EE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DF39F4"/>
    <w:multiLevelType w:val="hybridMultilevel"/>
    <w:tmpl w:val="E59A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6D41A98"/>
    <w:multiLevelType w:val="hybridMultilevel"/>
    <w:tmpl w:val="F92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644A9"/>
    <w:multiLevelType w:val="hybridMultilevel"/>
    <w:tmpl w:val="7340B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3D0F49"/>
    <w:multiLevelType w:val="hybridMultilevel"/>
    <w:tmpl w:val="08C2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52F28A9"/>
    <w:multiLevelType w:val="hybridMultilevel"/>
    <w:tmpl w:val="39A28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E145B8"/>
    <w:multiLevelType w:val="hybridMultilevel"/>
    <w:tmpl w:val="D6F2A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6"/>
  </w:num>
  <w:num w:numId="3">
    <w:abstractNumId w:val="20"/>
  </w:num>
  <w:num w:numId="4">
    <w:abstractNumId w:val="24"/>
  </w:num>
  <w:num w:numId="5">
    <w:abstractNumId w:val="5"/>
  </w:num>
  <w:num w:numId="6">
    <w:abstractNumId w:val="14"/>
  </w:num>
  <w:num w:numId="7">
    <w:abstractNumId w:val="10"/>
  </w:num>
  <w:num w:numId="8">
    <w:abstractNumId w:val="16"/>
  </w:num>
  <w:num w:numId="9">
    <w:abstractNumId w:val="25"/>
  </w:num>
  <w:num w:numId="10">
    <w:abstractNumId w:val="17"/>
  </w:num>
  <w:num w:numId="11">
    <w:abstractNumId w:val="15"/>
  </w:num>
  <w:num w:numId="12">
    <w:abstractNumId w:val="23"/>
  </w:num>
  <w:num w:numId="13">
    <w:abstractNumId w:val="13"/>
  </w:num>
  <w:num w:numId="14">
    <w:abstractNumId w:val="7"/>
  </w:num>
  <w:num w:numId="15">
    <w:abstractNumId w:val="3"/>
  </w:num>
  <w:num w:numId="16">
    <w:abstractNumId w:val="11"/>
  </w:num>
  <w:num w:numId="17">
    <w:abstractNumId w:val="22"/>
  </w:num>
  <w:num w:numId="18">
    <w:abstractNumId w:val="2"/>
  </w:num>
  <w:num w:numId="19">
    <w:abstractNumId w:val="1"/>
  </w:num>
  <w:num w:numId="20">
    <w:abstractNumId w:val="21"/>
  </w:num>
  <w:num w:numId="21">
    <w:abstractNumId w:val="18"/>
  </w:num>
  <w:num w:numId="22">
    <w:abstractNumId w:val="9"/>
  </w:num>
  <w:num w:numId="23">
    <w:abstractNumId w:val="4"/>
  </w:num>
  <w:num w:numId="24">
    <w:abstractNumId w:val="0"/>
  </w:num>
  <w:num w:numId="25">
    <w:abstractNumId w:val="12"/>
  </w:num>
  <w:num w:numId="26">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2083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7324"/>
    <w:rsid w:val="0001696F"/>
    <w:rsid w:val="00027F39"/>
    <w:rsid w:val="000314BE"/>
    <w:rsid w:val="0003612C"/>
    <w:rsid w:val="000411C0"/>
    <w:rsid w:val="0004434E"/>
    <w:rsid w:val="00052635"/>
    <w:rsid w:val="00053328"/>
    <w:rsid w:val="00055C73"/>
    <w:rsid w:val="00060E49"/>
    <w:rsid w:val="000650EB"/>
    <w:rsid w:val="00065E37"/>
    <w:rsid w:val="0007080B"/>
    <w:rsid w:val="00070EBD"/>
    <w:rsid w:val="0007415F"/>
    <w:rsid w:val="00075E59"/>
    <w:rsid w:val="00083F98"/>
    <w:rsid w:val="00086A29"/>
    <w:rsid w:val="00091B52"/>
    <w:rsid w:val="00092939"/>
    <w:rsid w:val="00095947"/>
    <w:rsid w:val="000A27B9"/>
    <w:rsid w:val="000A2EBC"/>
    <w:rsid w:val="000B2582"/>
    <w:rsid w:val="000B7610"/>
    <w:rsid w:val="000C1E08"/>
    <w:rsid w:val="000D65D7"/>
    <w:rsid w:val="000D793E"/>
    <w:rsid w:val="0010212F"/>
    <w:rsid w:val="001072DE"/>
    <w:rsid w:val="00112AC8"/>
    <w:rsid w:val="00116121"/>
    <w:rsid w:val="00126145"/>
    <w:rsid w:val="00127D7C"/>
    <w:rsid w:val="001318B4"/>
    <w:rsid w:val="00136836"/>
    <w:rsid w:val="00143E06"/>
    <w:rsid w:val="001442F6"/>
    <w:rsid w:val="00145121"/>
    <w:rsid w:val="0014740A"/>
    <w:rsid w:val="001475A2"/>
    <w:rsid w:val="001477A7"/>
    <w:rsid w:val="00151481"/>
    <w:rsid w:val="00161014"/>
    <w:rsid w:val="00171139"/>
    <w:rsid w:val="001721E6"/>
    <w:rsid w:val="001742D5"/>
    <w:rsid w:val="00174436"/>
    <w:rsid w:val="001767E6"/>
    <w:rsid w:val="0018036E"/>
    <w:rsid w:val="00180466"/>
    <w:rsid w:val="001841A8"/>
    <w:rsid w:val="00185733"/>
    <w:rsid w:val="00190A8D"/>
    <w:rsid w:val="00194BDB"/>
    <w:rsid w:val="00196645"/>
    <w:rsid w:val="001A5421"/>
    <w:rsid w:val="001B21A1"/>
    <w:rsid w:val="001B2CDE"/>
    <w:rsid w:val="001B48B3"/>
    <w:rsid w:val="001C05BA"/>
    <w:rsid w:val="001C06FA"/>
    <w:rsid w:val="001C3DF5"/>
    <w:rsid w:val="001D5F96"/>
    <w:rsid w:val="001D6048"/>
    <w:rsid w:val="001E0A05"/>
    <w:rsid w:val="00220CE0"/>
    <w:rsid w:val="00221120"/>
    <w:rsid w:val="0022597F"/>
    <w:rsid w:val="00233288"/>
    <w:rsid w:val="002333B7"/>
    <w:rsid w:val="002363A9"/>
    <w:rsid w:val="00244D42"/>
    <w:rsid w:val="0024567E"/>
    <w:rsid w:val="00247311"/>
    <w:rsid w:val="002519B7"/>
    <w:rsid w:val="00251E7C"/>
    <w:rsid w:val="002530C6"/>
    <w:rsid w:val="00267558"/>
    <w:rsid w:val="0026790F"/>
    <w:rsid w:val="00272467"/>
    <w:rsid w:val="0027255D"/>
    <w:rsid w:val="00273A29"/>
    <w:rsid w:val="00274701"/>
    <w:rsid w:val="0027765B"/>
    <w:rsid w:val="00283F82"/>
    <w:rsid w:val="00285137"/>
    <w:rsid w:val="0029127B"/>
    <w:rsid w:val="002938A5"/>
    <w:rsid w:val="00295775"/>
    <w:rsid w:val="002960F4"/>
    <w:rsid w:val="002973B9"/>
    <w:rsid w:val="002974D4"/>
    <w:rsid w:val="002A2FA8"/>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6B6C"/>
    <w:rsid w:val="002E4C97"/>
    <w:rsid w:val="002E794D"/>
    <w:rsid w:val="002F0126"/>
    <w:rsid w:val="002F2FF2"/>
    <w:rsid w:val="002F3759"/>
    <w:rsid w:val="002F5517"/>
    <w:rsid w:val="00310A97"/>
    <w:rsid w:val="00312C1A"/>
    <w:rsid w:val="00312DD1"/>
    <w:rsid w:val="00313E5D"/>
    <w:rsid w:val="0031570F"/>
    <w:rsid w:val="003162A2"/>
    <w:rsid w:val="00320818"/>
    <w:rsid w:val="0033176D"/>
    <w:rsid w:val="00337150"/>
    <w:rsid w:val="00346CE0"/>
    <w:rsid w:val="003504B5"/>
    <w:rsid w:val="003533A7"/>
    <w:rsid w:val="00360683"/>
    <w:rsid w:val="003631E5"/>
    <w:rsid w:val="00377306"/>
    <w:rsid w:val="00391673"/>
    <w:rsid w:val="003946D4"/>
    <w:rsid w:val="003A2A06"/>
    <w:rsid w:val="003A3800"/>
    <w:rsid w:val="003A6500"/>
    <w:rsid w:val="003B3883"/>
    <w:rsid w:val="003B40ED"/>
    <w:rsid w:val="003B46C8"/>
    <w:rsid w:val="003B5CF4"/>
    <w:rsid w:val="003C361A"/>
    <w:rsid w:val="003C3674"/>
    <w:rsid w:val="003C3FCC"/>
    <w:rsid w:val="003C70DA"/>
    <w:rsid w:val="003D2D35"/>
    <w:rsid w:val="003D3730"/>
    <w:rsid w:val="003D4CBE"/>
    <w:rsid w:val="003F28BC"/>
    <w:rsid w:val="003F448B"/>
    <w:rsid w:val="003F546E"/>
    <w:rsid w:val="003F58F6"/>
    <w:rsid w:val="004000BE"/>
    <w:rsid w:val="004019E1"/>
    <w:rsid w:val="004043F0"/>
    <w:rsid w:val="0040477F"/>
    <w:rsid w:val="004074BD"/>
    <w:rsid w:val="00411AA7"/>
    <w:rsid w:val="00412643"/>
    <w:rsid w:val="00412AFA"/>
    <w:rsid w:val="00413229"/>
    <w:rsid w:val="004137FF"/>
    <w:rsid w:val="004147B5"/>
    <w:rsid w:val="00414D93"/>
    <w:rsid w:val="00420162"/>
    <w:rsid w:val="0042159B"/>
    <w:rsid w:val="00425DF0"/>
    <w:rsid w:val="004265A0"/>
    <w:rsid w:val="00427917"/>
    <w:rsid w:val="00435AD0"/>
    <w:rsid w:val="00441AA1"/>
    <w:rsid w:val="00446005"/>
    <w:rsid w:val="00446AE1"/>
    <w:rsid w:val="0046088D"/>
    <w:rsid w:val="00461C5A"/>
    <w:rsid w:val="0046454E"/>
    <w:rsid w:val="004656EE"/>
    <w:rsid w:val="00466A01"/>
    <w:rsid w:val="0048006F"/>
    <w:rsid w:val="00487887"/>
    <w:rsid w:val="00496761"/>
    <w:rsid w:val="00496C3B"/>
    <w:rsid w:val="004B0201"/>
    <w:rsid w:val="004B77E3"/>
    <w:rsid w:val="004C1005"/>
    <w:rsid w:val="004C145A"/>
    <w:rsid w:val="004C46E1"/>
    <w:rsid w:val="004C5861"/>
    <w:rsid w:val="004C63EE"/>
    <w:rsid w:val="004C6A8B"/>
    <w:rsid w:val="004D10DB"/>
    <w:rsid w:val="004D15BB"/>
    <w:rsid w:val="004D1EE6"/>
    <w:rsid w:val="004D28B9"/>
    <w:rsid w:val="004D6142"/>
    <w:rsid w:val="004E72AC"/>
    <w:rsid w:val="004E78E8"/>
    <w:rsid w:val="00501BD7"/>
    <w:rsid w:val="00504BCA"/>
    <w:rsid w:val="00506A83"/>
    <w:rsid w:val="0051029C"/>
    <w:rsid w:val="00515626"/>
    <w:rsid w:val="00521828"/>
    <w:rsid w:val="005253C8"/>
    <w:rsid w:val="005274F3"/>
    <w:rsid w:val="00530886"/>
    <w:rsid w:val="00532C95"/>
    <w:rsid w:val="00532D9C"/>
    <w:rsid w:val="005363C8"/>
    <w:rsid w:val="00546F7A"/>
    <w:rsid w:val="00555AFA"/>
    <w:rsid w:val="005573A0"/>
    <w:rsid w:val="00557A2B"/>
    <w:rsid w:val="00565697"/>
    <w:rsid w:val="00566C02"/>
    <w:rsid w:val="00570FDA"/>
    <w:rsid w:val="00580ED6"/>
    <w:rsid w:val="00585079"/>
    <w:rsid w:val="0059566C"/>
    <w:rsid w:val="005A0289"/>
    <w:rsid w:val="005A22CF"/>
    <w:rsid w:val="005B000C"/>
    <w:rsid w:val="005B3EF1"/>
    <w:rsid w:val="005C15A0"/>
    <w:rsid w:val="005D680C"/>
    <w:rsid w:val="005E2AE9"/>
    <w:rsid w:val="005F0BCE"/>
    <w:rsid w:val="005F34F7"/>
    <w:rsid w:val="005F56A6"/>
    <w:rsid w:val="006012C6"/>
    <w:rsid w:val="00602802"/>
    <w:rsid w:val="00613EFD"/>
    <w:rsid w:val="00617630"/>
    <w:rsid w:val="00620346"/>
    <w:rsid w:val="00620555"/>
    <w:rsid w:val="0062638D"/>
    <w:rsid w:val="0063642D"/>
    <w:rsid w:val="00656384"/>
    <w:rsid w:val="006653D4"/>
    <w:rsid w:val="00666E6D"/>
    <w:rsid w:val="00667F6E"/>
    <w:rsid w:val="00671904"/>
    <w:rsid w:val="006722CE"/>
    <w:rsid w:val="00676281"/>
    <w:rsid w:val="00677F9F"/>
    <w:rsid w:val="00690BB8"/>
    <w:rsid w:val="0069278C"/>
    <w:rsid w:val="00696B73"/>
    <w:rsid w:val="006A185C"/>
    <w:rsid w:val="006A4230"/>
    <w:rsid w:val="006A42F6"/>
    <w:rsid w:val="006A6E0F"/>
    <w:rsid w:val="006B48F1"/>
    <w:rsid w:val="006C2467"/>
    <w:rsid w:val="006C60A2"/>
    <w:rsid w:val="006C7454"/>
    <w:rsid w:val="006D4C4D"/>
    <w:rsid w:val="006D512F"/>
    <w:rsid w:val="006D52EC"/>
    <w:rsid w:val="006D7CA8"/>
    <w:rsid w:val="006E5253"/>
    <w:rsid w:val="006E6B9A"/>
    <w:rsid w:val="006F5508"/>
    <w:rsid w:val="00701EF9"/>
    <w:rsid w:val="007048C3"/>
    <w:rsid w:val="00712655"/>
    <w:rsid w:val="00726156"/>
    <w:rsid w:val="00732383"/>
    <w:rsid w:val="00732E84"/>
    <w:rsid w:val="00733BDE"/>
    <w:rsid w:val="00737957"/>
    <w:rsid w:val="007477F6"/>
    <w:rsid w:val="00757C50"/>
    <w:rsid w:val="00760049"/>
    <w:rsid w:val="00760131"/>
    <w:rsid w:val="0076369E"/>
    <w:rsid w:val="00765BB9"/>
    <w:rsid w:val="00766C46"/>
    <w:rsid w:val="00771468"/>
    <w:rsid w:val="00772D0C"/>
    <w:rsid w:val="00773E97"/>
    <w:rsid w:val="00784191"/>
    <w:rsid w:val="0078762A"/>
    <w:rsid w:val="007911DF"/>
    <w:rsid w:val="00791A5D"/>
    <w:rsid w:val="00793203"/>
    <w:rsid w:val="0079666E"/>
    <w:rsid w:val="0079669E"/>
    <w:rsid w:val="00796A2A"/>
    <w:rsid w:val="007A2A69"/>
    <w:rsid w:val="007A2D26"/>
    <w:rsid w:val="007A412D"/>
    <w:rsid w:val="007B546D"/>
    <w:rsid w:val="007B7386"/>
    <w:rsid w:val="007C33E4"/>
    <w:rsid w:val="007D3894"/>
    <w:rsid w:val="007E04D4"/>
    <w:rsid w:val="007E267A"/>
    <w:rsid w:val="007E5CF8"/>
    <w:rsid w:val="007E771D"/>
    <w:rsid w:val="007F3EF2"/>
    <w:rsid w:val="008010A5"/>
    <w:rsid w:val="00801948"/>
    <w:rsid w:val="00804085"/>
    <w:rsid w:val="00804288"/>
    <w:rsid w:val="00813CD3"/>
    <w:rsid w:val="0081518A"/>
    <w:rsid w:val="00815E75"/>
    <w:rsid w:val="00816F96"/>
    <w:rsid w:val="00823E65"/>
    <w:rsid w:val="008244E5"/>
    <w:rsid w:val="008339F9"/>
    <w:rsid w:val="00836840"/>
    <w:rsid w:val="00840AB6"/>
    <w:rsid w:val="00842222"/>
    <w:rsid w:val="00846CBF"/>
    <w:rsid w:val="00846FAB"/>
    <w:rsid w:val="00853251"/>
    <w:rsid w:val="00856CC3"/>
    <w:rsid w:val="00870BF0"/>
    <w:rsid w:val="00870FE7"/>
    <w:rsid w:val="00872250"/>
    <w:rsid w:val="00872C28"/>
    <w:rsid w:val="00881A67"/>
    <w:rsid w:val="00886503"/>
    <w:rsid w:val="00893B8E"/>
    <w:rsid w:val="008A0730"/>
    <w:rsid w:val="008A1ED0"/>
    <w:rsid w:val="008A2594"/>
    <w:rsid w:val="008A34A6"/>
    <w:rsid w:val="008A4707"/>
    <w:rsid w:val="008A5F17"/>
    <w:rsid w:val="008C2ADD"/>
    <w:rsid w:val="008C4EB6"/>
    <w:rsid w:val="008D2554"/>
    <w:rsid w:val="008E27D5"/>
    <w:rsid w:val="0090352C"/>
    <w:rsid w:val="0090427E"/>
    <w:rsid w:val="00915D34"/>
    <w:rsid w:val="00916155"/>
    <w:rsid w:val="00921D45"/>
    <w:rsid w:val="00931C9D"/>
    <w:rsid w:val="00932248"/>
    <w:rsid w:val="00932BEF"/>
    <w:rsid w:val="00934221"/>
    <w:rsid w:val="0093734D"/>
    <w:rsid w:val="009402E9"/>
    <w:rsid w:val="009433CB"/>
    <w:rsid w:val="0095082C"/>
    <w:rsid w:val="0096003B"/>
    <w:rsid w:val="009628AF"/>
    <w:rsid w:val="00971496"/>
    <w:rsid w:val="00971DDC"/>
    <w:rsid w:val="0097265A"/>
    <w:rsid w:val="00972F70"/>
    <w:rsid w:val="009745AB"/>
    <w:rsid w:val="00991070"/>
    <w:rsid w:val="00991963"/>
    <w:rsid w:val="00992DCD"/>
    <w:rsid w:val="009B2AA7"/>
    <w:rsid w:val="009B5573"/>
    <w:rsid w:val="009C1507"/>
    <w:rsid w:val="009D03F9"/>
    <w:rsid w:val="009D2D92"/>
    <w:rsid w:val="009D4E27"/>
    <w:rsid w:val="009D7EE2"/>
    <w:rsid w:val="009E0835"/>
    <w:rsid w:val="009E27A5"/>
    <w:rsid w:val="009E2BBA"/>
    <w:rsid w:val="009E748B"/>
    <w:rsid w:val="009F35E1"/>
    <w:rsid w:val="009F5202"/>
    <w:rsid w:val="00A0363B"/>
    <w:rsid w:val="00A044DF"/>
    <w:rsid w:val="00A07D64"/>
    <w:rsid w:val="00A16D4F"/>
    <w:rsid w:val="00A22250"/>
    <w:rsid w:val="00A22F3F"/>
    <w:rsid w:val="00A237B2"/>
    <w:rsid w:val="00A24CCA"/>
    <w:rsid w:val="00A24F87"/>
    <w:rsid w:val="00A279D4"/>
    <w:rsid w:val="00A31718"/>
    <w:rsid w:val="00A34767"/>
    <w:rsid w:val="00A4219D"/>
    <w:rsid w:val="00A515D6"/>
    <w:rsid w:val="00A52561"/>
    <w:rsid w:val="00A52FC5"/>
    <w:rsid w:val="00A53FC5"/>
    <w:rsid w:val="00A540F3"/>
    <w:rsid w:val="00A54F01"/>
    <w:rsid w:val="00A55F27"/>
    <w:rsid w:val="00A569A4"/>
    <w:rsid w:val="00A57168"/>
    <w:rsid w:val="00A62B1A"/>
    <w:rsid w:val="00A71BD4"/>
    <w:rsid w:val="00A76243"/>
    <w:rsid w:val="00A762D5"/>
    <w:rsid w:val="00A773F5"/>
    <w:rsid w:val="00A805A8"/>
    <w:rsid w:val="00A80B01"/>
    <w:rsid w:val="00A93646"/>
    <w:rsid w:val="00A945E2"/>
    <w:rsid w:val="00A95088"/>
    <w:rsid w:val="00A95E61"/>
    <w:rsid w:val="00A9638F"/>
    <w:rsid w:val="00AA2D50"/>
    <w:rsid w:val="00AA3CA4"/>
    <w:rsid w:val="00AB1474"/>
    <w:rsid w:val="00AB4EFA"/>
    <w:rsid w:val="00AC2BD8"/>
    <w:rsid w:val="00AC4276"/>
    <w:rsid w:val="00AC4AAA"/>
    <w:rsid w:val="00AC5A41"/>
    <w:rsid w:val="00AC7216"/>
    <w:rsid w:val="00AD0C4F"/>
    <w:rsid w:val="00AD5E2B"/>
    <w:rsid w:val="00AE052F"/>
    <w:rsid w:val="00AE26C5"/>
    <w:rsid w:val="00AE3567"/>
    <w:rsid w:val="00AE4706"/>
    <w:rsid w:val="00AE6AE8"/>
    <w:rsid w:val="00AE775A"/>
    <w:rsid w:val="00AE7C57"/>
    <w:rsid w:val="00AF1A64"/>
    <w:rsid w:val="00AF3B2C"/>
    <w:rsid w:val="00B03B2F"/>
    <w:rsid w:val="00B03BCC"/>
    <w:rsid w:val="00B07901"/>
    <w:rsid w:val="00B1029B"/>
    <w:rsid w:val="00B107DB"/>
    <w:rsid w:val="00B12666"/>
    <w:rsid w:val="00B139DE"/>
    <w:rsid w:val="00B22638"/>
    <w:rsid w:val="00B243F4"/>
    <w:rsid w:val="00B26DD1"/>
    <w:rsid w:val="00B31627"/>
    <w:rsid w:val="00B32C30"/>
    <w:rsid w:val="00B35602"/>
    <w:rsid w:val="00B37427"/>
    <w:rsid w:val="00B46077"/>
    <w:rsid w:val="00B55FA9"/>
    <w:rsid w:val="00B56B1F"/>
    <w:rsid w:val="00B578C5"/>
    <w:rsid w:val="00B60DCF"/>
    <w:rsid w:val="00B72D05"/>
    <w:rsid w:val="00B76024"/>
    <w:rsid w:val="00B816F5"/>
    <w:rsid w:val="00B83E85"/>
    <w:rsid w:val="00B86BDA"/>
    <w:rsid w:val="00B87244"/>
    <w:rsid w:val="00B87640"/>
    <w:rsid w:val="00BA1C72"/>
    <w:rsid w:val="00BA48BD"/>
    <w:rsid w:val="00BB6344"/>
    <w:rsid w:val="00BC0F95"/>
    <w:rsid w:val="00BC2EC5"/>
    <w:rsid w:val="00BC7924"/>
    <w:rsid w:val="00BD1F36"/>
    <w:rsid w:val="00BD285A"/>
    <w:rsid w:val="00BD4AC8"/>
    <w:rsid w:val="00BE2E7D"/>
    <w:rsid w:val="00BF4E61"/>
    <w:rsid w:val="00C02F16"/>
    <w:rsid w:val="00C062F6"/>
    <w:rsid w:val="00C115D4"/>
    <w:rsid w:val="00C16D62"/>
    <w:rsid w:val="00C24819"/>
    <w:rsid w:val="00C30640"/>
    <w:rsid w:val="00C3079E"/>
    <w:rsid w:val="00C42297"/>
    <w:rsid w:val="00C50168"/>
    <w:rsid w:val="00C516B7"/>
    <w:rsid w:val="00C53622"/>
    <w:rsid w:val="00C54982"/>
    <w:rsid w:val="00C66B5A"/>
    <w:rsid w:val="00C81BB1"/>
    <w:rsid w:val="00C86B00"/>
    <w:rsid w:val="00C86B68"/>
    <w:rsid w:val="00C93EDD"/>
    <w:rsid w:val="00C953EF"/>
    <w:rsid w:val="00C97311"/>
    <w:rsid w:val="00CA7B1E"/>
    <w:rsid w:val="00CC0088"/>
    <w:rsid w:val="00CC39FD"/>
    <w:rsid w:val="00CE1B6E"/>
    <w:rsid w:val="00CE4DE5"/>
    <w:rsid w:val="00CF356A"/>
    <w:rsid w:val="00D00BD8"/>
    <w:rsid w:val="00D02F5A"/>
    <w:rsid w:val="00D04B88"/>
    <w:rsid w:val="00D12160"/>
    <w:rsid w:val="00D15C08"/>
    <w:rsid w:val="00D15E25"/>
    <w:rsid w:val="00D25CA2"/>
    <w:rsid w:val="00D26398"/>
    <w:rsid w:val="00D273EF"/>
    <w:rsid w:val="00D2780E"/>
    <w:rsid w:val="00D32A1B"/>
    <w:rsid w:val="00D3302E"/>
    <w:rsid w:val="00D45706"/>
    <w:rsid w:val="00D462B9"/>
    <w:rsid w:val="00D51AB5"/>
    <w:rsid w:val="00D5308D"/>
    <w:rsid w:val="00D53D01"/>
    <w:rsid w:val="00D56DBA"/>
    <w:rsid w:val="00D62003"/>
    <w:rsid w:val="00D673E0"/>
    <w:rsid w:val="00D70674"/>
    <w:rsid w:val="00D72F23"/>
    <w:rsid w:val="00D743AA"/>
    <w:rsid w:val="00D76E1B"/>
    <w:rsid w:val="00D8248D"/>
    <w:rsid w:val="00D82A53"/>
    <w:rsid w:val="00D83034"/>
    <w:rsid w:val="00D85273"/>
    <w:rsid w:val="00D9131C"/>
    <w:rsid w:val="00D93AC6"/>
    <w:rsid w:val="00D93B0C"/>
    <w:rsid w:val="00D96FEA"/>
    <w:rsid w:val="00DA12AB"/>
    <w:rsid w:val="00DA5597"/>
    <w:rsid w:val="00DC254A"/>
    <w:rsid w:val="00DD34F8"/>
    <w:rsid w:val="00DD646B"/>
    <w:rsid w:val="00DD71A4"/>
    <w:rsid w:val="00DD785D"/>
    <w:rsid w:val="00DE0E7D"/>
    <w:rsid w:val="00DE31A3"/>
    <w:rsid w:val="00DF25FD"/>
    <w:rsid w:val="00DF65B2"/>
    <w:rsid w:val="00E0055C"/>
    <w:rsid w:val="00E00801"/>
    <w:rsid w:val="00E0278A"/>
    <w:rsid w:val="00E03A4D"/>
    <w:rsid w:val="00E051E3"/>
    <w:rsid w:val="00E05567"/>
    <w:rsid w:val="00E07960"/>
    <w:rsid w:val="00E1495E"/>
    <w:rsid w:val="00E14F87"/>
    <w:rsid w:val="00E153F6"/>
    <w:rsid w:val="00E20171"/>
    <w:rsid w:val="00E35457"/>
    <w:rsid w:val="00E4164A"/>
    <w:rsid w:val="00E43842"/>
    <w:rsid w:val="00E4509B"/>
    <w:rsid w:val="00E4633B"/>
    <w:rsid w:val="00E47699"/>
    <w:rsid w:val="00E47AE4"/>
    <w:rsid w:val="00E52E3C"/>
    <w:rsid w:val="00E53CC2"/>
    <w:rsid w:val="00E569C1"/>
    <w:rsid w:val="00E631F7"/>
    <w:rsid w:val="00E77CC4"/>
    <w:rsid w:val="00E91BDE"/>
    <w:rsid w:val="00E943EE"/>
    <w:rsid w:val="00E95BF2"/>
    <w:rsid w:val="00EA5B9D"/>
    <w:rsid w:val="00EB0370"/>
    <w:rsid w:val="00EC162F"/>
    <w:rsid w:val="00EC363B"/>
    <w:rsid w:val="00ED2C69"/>
    <w:rsid w:val="00EE01E9"/>
    <w:rsid w:val="00EE5769"/>
    <w:rsid w:val="00EE6CB7"/>
    <w:rsid w:val="00F001B4"/>
    <w:rsid w:val="00F00FAE"/>
    <w:rsid w:val="00F01A21"/>
    <w:rsid w:val="00F15DDF"/>
    <w:rsid w:val="00F22144"/>
    <w:rsid w:val="00F313F6"/>
    <w:rsid w:val="00F40727"/>
    <w:rsid w:val="00F43013"/>
    <w:rsid w:val="00F57C13"/>
    <w:rsid w:val="00F610CA"/>
    <w:rsid w:val="00F7227E"/>
    <w:rsid w:val="00F8225E"/>
    <w:rsid w:val="00F924D8"/>
    <w:rsid w:val="00FA10BA"/>
    <w:rsid w:val="00FA6853"/>
    <w:rsid w:val="00FB1555"/>
    <w:rsid w:val="00FB412A"/>
    <w:rsid w:val="00FB7DA0"/>
    <w:rsid w:val="00FC4E76"/>
    <w:rsid w:val="00FC7B21"/>
    <w:rsid w:val="00FD6B97"/>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08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5E48E7-6B93-4787-8DC1-0CC77933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10</Pages>
  <Words>2534</Words>
  <Characters>14446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patricksvedman</cp:lastModifiedBy>
  <cp:revision>27</cp:revision>
  <cp:lastPrinted>2016-05-12T11:57:00Z</cp:lastPrinted>
  <dcterms:created xsi:type="dcterms:W3CDTF">2016-05-09T19:24:00Z</dcterms:created>
  <dcterms:modified xsi:type="dcterms:W3CDTF">2016-05-13T12:19:00Z</dcterms:modified>
</cp:coreProperties>
</file>